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V w:val="single" w:sz="4" w:space="0" w:color="auto"/>
        </w:tblBorders>
        <w:tblCellMar>
          <w:left w:w="57" w:type="dxa"/>
          <w:right w:w="57" w:type="dxa"/>
        </w:tblCellMar>
        <w:tblLook w:val="04A0" w:firstRow="1" w:lastRow="0" w:firstColumn="1" w:lastColumn="0" w:noHBand="0" w:noVBand="1"/>
      </w:tblPr>
      <w:tblGrid>
        <w:gridCol w:w="10092"/>
      </w:tblGrid>
      <w:tr w:rsidR="006F65F9" w:rsidRPr="00936B78" w14:paraId="089839EF" w14:textId="77777777" w:rsidTr="00936B78">
        <w:tc>
          <w:tcPr>
            <w:tcW w:w="10206" w:type="dxa"/>
          </w:tcPr>
          <w:p w14:paraId="65CD1B2B" w14:textId="77777777" w:rsidR="006F65F9" w:rsidRPr="00936B78" w:rsidRDefault="006F65F9" w:rsidP="00595461">
            <w:pPr>
              <w:pStyle w:val="Subject"/>
            </w:pPr>
            <w:bookmarkStart w:id="0" w:name="_GoBack"/>
            <w:bookmarkEnd w:id="0"/>
          </w:p>
        </w:tc>
      </w:tr>
      <w:tr w:rsidR="006F65F9" w:rsidRPr="00F846E6" w14:paraId="585A2B9A" w14:textId="77777777" w:rsidTr="00936B78">
        <w:tc>
          <w:tcPr>
            <w:tcW w:w="10206" w:type="dxa"/>
          </w:tcPr>
          <w:p w14:paraId="52F33C39" w14:textId="7EE7CE61" w:rsidR="006F65F9" w:rsidRPr="00FE38EE" w:rsidRDefault="00781E0F" w:rsidP="00E20D91">
            <w:pPr>
              <w:pStyle w:val="Datum"/>
              <w:rPr>
                <w:lang w:val="fr-CH"/>
              </w:rPr>
            </w:pPr>
            <w:r w:rsidRPr="00FE38EE">
              <w:rPr>
                <w:lang w:val="fr-CH"/>
              </w:rPr>
              <w:t xml:space="preserve">Version du </w:t>
            </w:r>
            <w:r w:rsidR="00E20D91">
              <w:rPr>
                <w:lang w:val="fr-CH"/>
              </w:rPr>
              <w:t>26</w:t>
            </w:r>
            <w:r w:rsidR="00F846E6" w:rsidRPr="00FE38EE">
              <w:rPr>
                <w:lang w:val="fr-CH"/>
              </w:rPr>
              <w:t xml:space="preserve"> </w:t>
            </w:r>
            <w:r w:rsidR="00E20D91">
              <w:rPr>
                <w:lang w:val="fr-CH"/>
              </w:rPr>
              <w:t>mars</w:t>
            </w:r>
            <w:r w:rsidR="00E20D91" w:rsidRPr="00FE38EE">
              <w:rPr>
                <w:lang w:val="fr-CH"/>
              </w:rPr>
              <w:t xml:space="preserve"> </w:t>
            </w:r>
            <w:r w:rsidR="00F846E6" w:rsidRPr="00FE38EE">
              <w:rPr>
                <w:lang w:val="fr-CH"/>
              </w:rPr>
              <w:t>201</w:t>
            </w:r>
            <w:r w:rsidR="00F846E6">
              <w:rPr>
                <w:lang w:val="fr-CH"/>
              </w:rPr>
              <w:t>5</w:t>
            </w:r>
          </w:p>
        </w:tc>
      </w:tr>
      <w:tr w:rsidR="006F65F9" w:rsidRPr="00F846E6" w14:paraId="50C8BA03" w14:textId="77777777" w:rsidTr="00936B78">
        <w:tc>
          <w:tcPr>
            <w:tcW w:w="10206" w:type="dxa"/>
          </w:tcPr>
          <w:p w14:paraId="16478512" w14:textId="77777777" w:rsidR="006F65F9" w:rsidRPr="00FE38EE" w:rsidRDefault="00781E0F" w:rsidP="003C30B7">
            <w:pPr>
              <w:pStyle w:val="Untertitel"/>
              <w:ind w:right="0"/>
              <w:rPr>
                <w:lang w:val="fr-CH"/>
              </w:rPr>
            </w:pPr>
            <w:r w:rsidRPr="00FE38EE">
              <w:rPr>
                <w:lang w:val="fr-CH"/>
              </w:rPr>
              <w:t>«Exemple SA»</w:t>
            </w:r>
          </w:p>
        </w:tc>
      </w:tr>
      <w:tr w:rsidR="006F65F9" w:rsidRPr="00F82B1E" w14:paraId="2175FBBA" w14:textId="77777777" w:rsidTr="00936B78">
        <w:tc>
          <w:tcPr>
            <w:tcW w:w="10206" w:type="dxa"/>
          </w:tcPr>
          <w:p w14:paraId="3F94E0F4" w14:textId="77777777" w:rsidR="00781E0F" w:rsidRDefault="00781E0F" w:rsidP="003C30B7">
            <w:pPr>
              <w:pStyle w:val="Haupttitel2"/>
              <w:ind w:right="0"/>
              <w:rPr>
                <w:lang w:val="fr-CH"/>
              </w:rPr>
            </w:pPr>
            <w:r>
              <w:rPr>
                <w:lang w:val="fr-CH"/>
              </w:rPr>
              <w:t>Etat actuel et analyse des potentiels</w:t>
            </w:r>
          </w:p>
          <w:p w14:paraId="4D86BEA4" w14:textId="7AC44FC1" w:rsidR="00781E0F" w:rsidRDefault="00781E0F" w:rsidP="003C30B7">
            <w:pPr>
              <w:pStyle w:val="Haupttitel2"/>
              <w:spacing w:before="240"/>
              <w:ind w:right="0"/>
              <w:rPr>
                <w:sz w:val="22"/>
                <w:lang w:val="fr-CH"/>
              </w:rPr>
            </w:pPr>
            <w:r>
              <w:rPr>
                <w:sz w:val="22"/>
                <w:lang w:val="fr-CH"/>
              </w:rPr>
              <w:t xml:space="preserve">Guide pour </w:t>
            </w:r>
            <w:r w:rsidR="009059DA">
              <w:rPr>
                <w:sz w:val="22"/>
                <w:lang w:val="fr-CH"/>
              </w:rPr>
              <w:t xml:space="preserve">l’établissement </w:t>
            </w:r>
            <w:r>
              <w:rPr>
                <w:sz w:val="22"/>
                <w:lang w:val="fr-CH"/>
              </w:rPr>
              <w:t>du potentiel énergétique dans l’entreprise</w:t>
            </w:r>
            <w:r>
              <w:rPr>
                <w:sz w:val="22"/>
                <w:lang w:val="fr-CH"/>
              </w:rPr>
              <w:br/>
              <w:t>en vue de l’exemption de la taxe sur le CO</w:t>
            </w:r>
            <w:r>
              <w:rPr>
                <w:sz w:val="22"/>
                <w:vertAlign w:val="subscript"/>
                <w:lang w:val="fr-CH"/>
              </w:rPr>
              <w:t>2</w:t>
            </w:r>
            <w:r>
              <w:rPr>
                <w:sz w:val="22"/>
                <w:lang w:val="fr-CH"/>
              </w:rPr>
              <w:t xml:space="preserve"> sans échange de quotas d’émission</w:t>
            </w:r>
            <w:r w:rsidR="000B1AE3">
              <w:rPr>
                <w:sz w:val="22"/>
                <w:lang w:val="fr-CH"/>
              </w:rPr>
              <w:t>,</w:t>
            </w:r>
            <w:r>
              <w:rPr>
                <w:sz w:val="22"/>
                <w:lang w:val="fr-CH"/>
              </w:rPr>
              <w:br/>
            </w:r>
            <w:r w:rsidR="00282100">
              <w:rPr>
                <w:sz w:val="22"/>
                <w:lang w:val="fr-CH"/>
              </w:rPr>
              <w:t>d</w:t>
            </w:r>
            <w:r w:rsidR="008C3E48">
              <w:rPr>
                <w:sz w:val="22"/>
                <w:lang w:val="fr-CH"/>
              </w:rPr>
              <w:t>u</w:t>
            </w:r>
            <w:r w:rsidR="000B1AE3">
              <w:rPr>
                <w:sz w:val="22"/>
                <w:lang w:val="fr-CH"/>
              </w:rPr>
              <w:t xml:space="preserve"> remboursement du supplément et</w:t>
            </w:r>
            <w:r w:rsidR="000B1AE3">
              <w:rPr>
                <w:sz w:val="22"/>
                <w:lang w:val="fr-CH"/>
              </w:rPr>
              <w:br/>
            </w:r>
            <w:r w:rsidR="008C3E48">
              <w:rPr>
                <w:sz w:val="22"/>
                <w:lang w:val="fr-CH"/>
              </w:rPr>
              <w:t xml:space="preserve">de </w:t>
            </w:r>
            <w:r w:rsidR="00282100">
              <w:rPr>
                <w:sz w:val="22"/>
                <w:lang w:val="fr-CH"/>
              </w:rPr>
              <w:t>la conclusion</w:t>
            </w:r>
            <w:r w:rsidR="008C3E48">
              <w:rPr>
                <w:sz w:val="22"/>
                <w:lang w:val="fr-CH"/>
              </w:rPr>
              <w:t xml:space="preserve"> de</w:t>
            </w:r>
            <w:r w:rsidR="000B1AE3">
              <w:rPr>
                <w:sz w:val="22"/>
                <w:lang w:val="fr-CH"/>
              </w:rPr>
              <w:t xml:space="preserve"> </w:t>
            </w:r>
            <w:r>
              <w:rPr>
                <w:sz w:val="22"/>
                <w:lang w:val="fr-CH"/>
              </w:rPr>
              <w:t>conventions d’objectifs volontaires avec la Confédération</w:t>
            </w:r>
          </w:p>
          <w:p w14:paraId="454C76CA" w14:textId="77777777" w:rsidR="00781E0F" w:rsidRPr="00781E0F" w:rsidRDefault="00781E0F" w:rsidP="003C30B7">
            <w:pPr>
              <w:ind w:right="0"/>
              <w:rPr>
                <w:lang w:val="fr-CH" w:eastAsia="de-CH"/>
              </w:rPr>
            </w:pPr>
          </w:p>
        </w:tc>
      </w:tr>
      <w:tr w:rsidR="00630446" w:rsidRPr="00F82B1E" w14:paraId="24722DD1" w14:textId="77777777" w:rsidTr="00936B78">
        <w:tc>
          <w:tcPr>
            <w:tcW w:w="10206" w:type="dxa"/>
          </w:tcPr>
          <w:p w14:paraId="4646C7F7" w14:textId="77777777" w:rsidR="00630446" w:rsidRPr="00781E0F" w:rsidRDefault="00630446" w:rsidP="00595461">
            <w:pPr>
              <w:rPr>
                <w:lang w:val="fr-CH" w:eastAsia="de-DE"/>
              </w:rPr>
            </w:pPr>
          </w:p>
        </w:tc>
      </w:tr>
      <w:tr w:rsidR="00630446" w:rsidRPr="00F82B1E" w14:paraId="019925DB" w14:textId="77777777" w:rsidTr="00936B78">
        <w:tc>
          <w:tcPr>
            <w:tcW w:w="10206" w:type="dxa"/>
          </w:tcPr>
          <w:p w14:paraId="4B5471A8" w14:textId="77777777" w:rsidR="00630446" w:rsidRPr="00781E0F" w:rsidRDefault="00630446" w:rsidP="00595461">
            <w:pPr>
              <w:rPr>
                <w:lang w:val="fr-CH" w:eastAsia="de-DE"/>
              </w:rPr>
            </w:pPr>
            <w:bookmarkStart w:id="1" w:name="CustomFieldDocumentDate" w:colFirst="0" w:colLast="0"/>
          </w:p>
        </w:tc>
      </w:tr>
      <w:tr w:rsidR="00630446" w:rsidRPr="00F82B1E" w14:paraId="2B150FBA" w14:textId="77777777" w:rsidTr="00936B78">
        <w:tc>
          <w:tcPr>
            <w:tcW w:w="10206" w:type="dxa"/>
          </w:tcPr>
          <w:p w14:paraId="6B4E04A5" w14:textId="77777777" w:rsidR="00630446" w:rsidRPr="00781E0F" w:rsidRDefault="00C47AA9" w:rsidP="00595461">
            <w:pPr>
              <w:rPr>
                <w:lang w:val="fr-CH" w:eastAsia="de-DE"/>
              </w:rPr>
            </w:pPr>
            <w:bookmarkStart w:id="2" w:name="Title" w:colFirst="0" w:colLast="0"/>
            <w:bookmarkEnd w:id="1"/>
            <w:r>
              <w:rPr>
                <w:noProof/>
                <w:lang w:eastAsia="de-CH"/>
              </w:rPr>
              <w:drawing>
                <wp:anchor distT="0" distB="0" distL="114300" distR="114300" simplePos="0" relativeHeight="251657216" behindDoc="1" locked="1" layoutInCell="1" allowOverlap="1" wp14:anchorId="0DD3DE81" wp14:editId="140BBD41">
                  <wp:simplePos x="0" y="0"/>
                  <wp:positionH relativeFrom="page">
                    <wp:posOffset>-723265</wp:posOffset>
                  </wp:positionH>
                  <wp:positionV relativeFrom="page">
                    <wp:posOffset>3371850</wp:posOffset>
                  </wp:positionV>
                  <wp:extent cx="7567930" cy="1762760"/>
                  <wp:effectExtent l="19050" t="0" r="0" b="0"/>
                  <wp:wrapNone/>
                  <wp:docPr id="296" name="e77b4499-b4c3-461a-84a6-c4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7b4499-b4c3-461a-84a6-c4e6"/>
                          <pic:cNvPicPr>
                            <a:picLocks noChangeAspect="1" noChangeArrowheads="1"/>
                          </pic:cNvPicPr>
                        </pic:nvPicPr>
                        <pic:blipFill>
                          <a:blip r:embed="rId9" cstate="print"/>
                          <a:srcRect/>
                          <a:stretch>
                            <a:fillRect/>
                          </a:stretch>
                        </pic:blipFill>
                        <pic:spPr bwMode="auto">
                          <a:xfrm>
                            <a:off x="0" y="0"/>
                            <a:ext cx="7567930" cy="1762760"/>
                          </a:xfrm>
                          <a:prstGeom prst="rect">
                            <a:avLst/>
                          </a:prstGeom>
                          <a:noFill/>
                          <a:ln w="9525">
                            <a:noFill/>
                            <a:miter lim="800000"/>
                            <a:headEnd/>
                            <a:tailEnd/>
                          </a:ln>
                        </pic:spPr>
                      </pic:pic>
                    </a:graphicData>
                  </a:graphic>
                </wp:anchor>
              </w:drawing>
            </w:r>
          </w:p>
        </w:tc>
      </w:tr>
      <w:bookmarkEnd w:id="2"/>
      <w:tr w:rsidR="00630446" w:rsidRPr="00F82B1E" w14:paraId="1133B546" w14:textId="77777777" w:rsidTr="00936B78">
        <w:tc>
          <w:tcPr>
            <w:tcW w:w="10206" w:type="dxa"/>
          </w:tcPr>
          <w:p w14:paraId="6209133B" w14:textId="77777777" w:rsidR="00630446" w:rsidRPr="00781E0F" w:rsidRDefault="00630446" w:rsidP="00595461">
            <w:pPr>
              <w:rPr>
                <w:lang w:val="fr-CH" w:eastAsia="de-DE"/>
              </w:rPr>
            </w:pPr>
          </w:p>
        </w:tc>
      </w:tr>
    </w:tbl>
    <w:p w14:paraId="07BDF50E" w14:textId="77777777" w:rsidR="00630446" w:rsidRPr="00F65A08" w:rsidRDefault="00630446" w:rsidP="00595461">
      <w:pPr>
        <w:rPr>
          <w:lang w:val="fr-CH" w:eastAsia="de-DE"/>
        </w:rPr>
        <w:sectPr w:rsidR="00630446" w:rsidRPr="00F65A08" w:rsidSect="00A616B3">
          <w:headerReference w:type="even" r:id="rId10"/>
          <w:headerReference w:type="default" r:id="rId11"/>
          <w:type w:val="continuous"/>
          <w:pgSz w:w="11906" w:h="16838" w:code="9"/>
          <w:pgMar w:top="3402" w:right="907" w:bottom="1304" w:left="907" w:header="680" w:footer="680" w:gutter="0"/>
          <w:cols w:space="708"/>
          <w:docGrid w:linePitch="360"/>
        </w:sectPr>
      </w:pPr>
    </w:p>
    <w:p w14:paraId="1D6EDD86" w14:textId="77777777" w:rsidR="001B7D4E" w:rsidRDefault="00630446" w:rsidP="001B7D4E">
      <w:pPr>
        <w:tabs>
          <w:tab w:val="left" w:pos="709"/>
        </w:tabs>
        <w:spacing w:before="240" w:line="360" w:lineRule="auto"/>
        <w:ind w:right="680"/>
        <w:rPr>
          <w:sz w:val="36"/>
          <w:szCs w:val="36"/>
          <w:lang w:val="fr-CH"/>
        </w:rPr>
      </w:pPr>
      <w:r w:rsidRPr="001B7D4E">
        <w:rPr>
          <w:lang w:val="fr-CH" w:eastAsia="de-DE"/>
        </w:rPr>
        <w:lastRenderedPageBreak/>
        <w:br w:type="page"/>
      </w:r>
      <w:r w:rsidR="001B7D4E">
        <w:rPr>
          <w:sz w:val="36"/>
          <w:szCs w:val="36"/>
          <w:lang w:val="fr-CH"/>
        </w:rPr>
        <w:lastRenderedPageBreak/>
        <w:t>Management Summary</w:t>
      </w:r>
    </w:p>
    <w:p w14:paraId="41352370" w14:textId="76B7AD68" w:rsidR="001B7D4E" w:rsidRDefault="001B7D4E" w:rsidP="001B7D4E">
      <w:pPr>
        <w:jc w:val="both"/>
        <w:rPr>
          <w:lang w:val="fr-CH"/>
        </w:rPr>
      </w:pPr>
      <w:r>
        <w:rPr>
          <w:lang w:val="fr-CH"/>
        </w:rPr>
        <w:t>L’analyse des potentiels est un instrument qui permet aux entreprises de saisir de manière systématique et de quantifier les données et les processus relatifs à l’énergie. Le présent guide donne la possibilité de saisir et de quantifier l’état actuel des installations énergétiques, le potentiel économique de la hausse de l’efficacité énergétique et le potentiel de réduction des émissions de CO</w:t>
      </w:r>
      <w:r>
        <w:rPr>
          <w:vertAlign w:val="subscript"/>
          <w:lang w:val="fr-CH"/>
        </w:rPr>
        <w:t>2</w:t>
      </w:r>
      <w:r>
        <w:rPr>
          <w:lang w:val="fr-CH"/>
        </w:rPr>
        <w:t xml:space="preserve"> et de gaz à effets de serre au sein de l’entreprise. Pour les entreprises </w:t>
      </w:r>
      <w:r w:rsidR="000B1AE3">
        <w:rPr>
          <w:lang w:val="fr-CH"/>
        </w:rPr>
        <w:t>souhaitant</w:t>
      </w:r>
      <w:r>
        <w:rPr>
          <w:lang w:val="fr-CH"/>
        </w:rPr>
        <w:t xml:space="preserve"> conclure une convention d’objectif</w:t>
      </w:r>
      <w:r w:rsidR="00282100">
        <w:rPr>
          <w:lang w:val="fr-CH"/>
        </w:rPr>
        <w:t>s</w:t>
      </w:r>
      <w:r>
        <w:rPr>
          <w:lang w:val="fr-CH"/>
        </w:rPr>
        <w:t xml:space="preserve"> volontaire</w:t>
      </w:r>
      <w:r w:rsidR="000B1AE3">
        <w:rPr>
          <w:lang w:val="fr-CH"/>
        </w:rPr>
        <w:t>,</w:t>
      </w:r>
      <w:r>
        <w:rPr>
          <w:lang w:val="fr-CH"/>
        </w:rPr>
        <w:t xml:space="preserve"> être exonérées de la taxe sur le CO</w:t>
      </w:r>
      <w:r>
        <w:rPr>
          <w:vertAlign w:val="subscript"/>
          <w:lang w:val="fr-CH"/>
        </w:rPr>
        <w:t>2</w:t>
      </w:r>
      <w:r w:rsidR="000B1AE3">
        <w:rPr>
          <w:lang w:val="fr-CH"/>
        </w:rPr>
        <w:t xml:space="preserve"> ou obtenir un remboursement du supplément,</w:t>
      </w:r>
      <w:r>
        <w:rPr>
          <w:lang w:val="fr-CH"/>
        </w:rPr>
        <w:t xml:space="preserve"> la procédure prévue par ce guide est une condition essentielle pour l’élaboration d’une proposition d’objectif ou d’une convention d’objectif</w:t>
      </w:r>
      <w:r w:rsidR="00282100">
        <w:rPr>
          <w:lang w:val="fr-CH"/>
        </w:rPr>
        <w:t>s</w:t>
      </w:r>
      <w:r>
        <w:rPr>
          <w:lang w:val="fr-CH"/>
        </w:rPr>
        <w:t xml:space="preserve"> avec la Confédération. </w:t>
      </w:r>
    </w:p>
    <w:p w14:paraId="2E9D5DA6" w14:textId="77777777" w:rsidR="001B7D4E" w:rsidRDefault="001B7D4E" w:rsidP="001B7D4E">
      <w:pPr>
        <w:jc w:val="both"/>
        <w:rPr>
          <w:lang w:val="fr-CH"/>
        </w:rPr>
      </w:pPr>
      <w:r>
        <w:rPr>
          <w:lang w:val="fr-CH"/>
        </w:rPr>
        <w:t>Il est possible de renoncer à utiliser ce guide en cas de recours à des instruments ou à des applications standardisés conformes aux prescriptions de la Confédération qui répondent ainsi aux exigences de l’analyse des potentiels.</w:t>
      </w:r>
    </w:p>
    <w:p w14:paraId="661E7A9A" w14:textId="77777777" w:rsidR="001B7D4E" w:rsidRDefault="001B7D4E" w:rsidP="001B7D4E">
      <w:pPr>
        <w:tabs>
          <w:tab w:val="left" w:pos="709"/>
        </w:tabs>
        <w:jc w:val="both"/>
        <w:rPr>
          <w:lang w:val="fr-CH"/>
        </w:rPr>
      </w:pPr>
      <w:r>
        <w:rPr>
          <w:lang w:val="fr-CH"/>
        </w:rPr>
        <w:t>Effectuer une analyse des potentiels est intéressant pour toute entreprise qui veut comprendre sa consommation d’énergie et optimiser sa gestion de l’énergie à la fois pour préserver l’environnement et pour réduire les coûts énergétiques. Cette analyse repose sur des manières de procéder qui ont fait leurs preuves et correspond à l’état de la technique.</w:t>
      </w:r>
    </w:p>
    <w:p w14:paraId="3A5242DB" w14:textId="77777777" w:rsidR="00630446" w:rsidRPr="001B7D4E" w:rsidRDefault="00630446" w:rsidP="00595461">
      <w:pPr>
        <w:rPr>
          <w:lang w:val="fr-CH" w:eastAsia="de-DE"/>
        </w:rPr>
      </w:pPr>
    </w:p>
    <w:p w14:paraId="00DBAE65" w14:textId="77777777" w:rsidR="00A616B3" w:rsidRPr="001B7D4E" w:rsidRDefault="00A616B3" w:rsidP="00595461">
      <w:pPr>
        <w:rPr>
          <w:lang w:val="fr-CH" w:eastAsia="de-CH"/>
        </w:rPr>
      </w:pPr>
    </w:p>
    <w:p w14:paraId="06BDFC36" w14:textId="77777777" w:rsidR="00A616B3" w:rsidRPr="001B7D4E" w:rsidRDefault="00A616B3" w:rsidP="00595461">
      <w:pPr>
        <w:rPr>
          <w:lang w:val="fr-CH" w:eastAsia="de-CH"/>
        </w:rPr>
      </w:pPr>
    </w:p>
    <w:p w14:paraId="41815AD7" w14:textId="77777777" w:rsidR="00A616B3" w:rsidRPr="001B7D4E" w:rsidRDefault="00A616B3" w:rsidP="00595461">
      <w:pPr>
        <w:rPr>
          <w:lang w:val="fr-CH" w:eastAsia="de-CH"/>
        </w:rPr>
      </w:pPr>
    </w:p>
    <w:p w14:paraId="1A86CA6E" w14:textId="77777777" w:rsidR="00A616B3" w:rsidRPr="001B7D4E" w:rsidRDefault="00A616B3" w:rsidP="00595461">
      <w:pPr>
        <w:rPr>
          <w:lang w:val="fr-CH" w:eastAsia="de-CH"/>
        </w:rPr>
      </w:pPr>
    </w:p>
    <w:p w14:paraId="4010915D" w14:textId="77777777" w:rsidR="00A616B3" w:rsidRPr="001B7D4E" w:rsidRDefault="00A616B3" w:rsidP="00595461">
      <w:pPr>
        <w:rPr>
          <w:lang w:val="fr-CH" w:eastAsia="de-CH"/>
        </w:rPr>
      </w:pPr>
    </w:p>
    <w:p w14:paraId="56A5677D" w14:textId="77777777" w:rsidR="00A616B3" w:rsidRDefault="00A616B3" w:rsidP="00595461">
      <w:pPr>
        <w:rPr>
          <w:lang w:val="fr-CH" w:eastAsia="de-CH"/>
        </w:rPr>
      </w:pPr>
    </w:p>
    <w:p w14:paraId="228003EC" w14:textId="77777777" w:rsidR="001B7D4E" w:rsidRDefault="001B7D4E" w:rsidP="00595461">
      <w:pPr>
        <w:rPr>
          <w:lang w:val="fr-CH" w:eastAsia="de-CH"/>
        </w:rPr>
      </w:pPr>
    </w:p>
    <w:p w14:paraId="24234296" w14:textId="77777777" w:rsidR="001B7D4E" w:rsidRPr="001B7D4E" w:rsidRDefault="001B7D4E" w:rsidP="00595461">
      <w:pPr>
        <w:rPr>
          <w:lang w:val="fr-CH" w:eastAsia="de-CH"/>
        </w:rPr>
      </w:pPr>
    </w:p>
    <w:p w14:paraId="77BE43C3" w14:textId="77777777" w:rsidR="00A616B3" w:rsidRPr="001B7D4E" w:rsidRDefault="00A616B3" w:rsidP="00595461">
      <w:pPr>
        <w:rPr>
          <w:lang w:val="fr-CH" w:eastAsia="de-CH"/>
        </w:rPr>
      </w:pPr>
    </w:p>
    <w:p w14:paraId="593A96C9" w14:textId="77777777" w:rsidR="00A616B3" w:rsidRPr="001B7D4E" w:rsidRDefault="00A616B3" w:rsidP="00595461">
      <w:pPr>
        <w:rPr>
          <w:lang w:val="fr-CH" w:eastAsia="de-CH"/>
        </w:rPr>
      </w:pPr>
    </w:p>
    <w:p w14:paraId="37B77C1B" w14:textId="77777777" w:rsidR="00A616B3" w:rsidRPr="00A616B3" w:rsidRDefault="00A616B3" w:rsidP="00A616B3">
      <w:pPr>
        <w:spacing w:before="240" w:after="0" w:line="240" w:lineRule="atLeast"/>
        <w:ind w:right="680"/>
        <w:rPr>
          <w:b/>
          <w:sz w:val="20"/>
          <w:szCs w:val="24"/>
          <w:lang w:val="fr-CH"/>
        </w:rPr>
      </w:pPr>
      <w:r w:rsidRPr="00A616B3">
        <w:rPr>
          <w:b/>
          <w:sz w:val="20"/>
          <w:szCs w:val="24"/>
          <w:lang w:val="fr-CH"/>
        </w:rPr>
        <w:t>Valeur juridique de la présente publication</w:t>
      </w:r>
    </w:p>
    <w:p w14:paraId="1520DE8B" w14:textId="7506391D" w:rsidR="00A616B3" w:rsidRPr="00A616B3" w:rsidRDefault="00A616B3" w:rsidP="00A616B3">
      <w:pPr>
        <w:spacing w:before="240" w:after="0" w:line="240" w:lineRule="atLeast"/>
        <w:ind w:right="680"/>
        <w:jc w:val="both"/>
        <w:rPr>
          <w:sz w:val="20"/>
          <w:szCs w:val="24"/>
          <w:lang w:val="fr-CH"/>
        </w:rPr>
      </w:pPr>
      <w:r w:rsidRPr="00A616B3">
        <w:rPr>
          <w:sz w:val="20"/>
          <w:szCs w:val="24"/>
          <w:lang w:val="fr-CH"/>
        </w:rPr>
        <w:t xml:space="preserve">Le présent document de l’OFEN sert de guide et d’aide afin </w:t>
      </w:r>
      <w:r w:rsidR="00726AD4">
        <w:rPr>
          <w:sz w:val="20"/>
          <w:szCs w:val="24"/>
          <w:lang w:val="fr-CH"/>
        </w:rPr>
        <w:t>d’établir</w:t>
      </w:r>
      <w:r w:rsidR="00726AD4" w:rsidRPr="00A616B3">
        <w:rPr>
          <w:sz w:val="20"/>
          <w:szCs w:val="24"/>
          <w:lang w:val="fr-CH"/>
        </w:rPr>
        <w:t xml:space="preserve"> </w:t>
      </w:r>
      <w:r w:rsidRPr="00A616B3">
        <w:rPr>
          <w:sz w:val="20"/>
          <w:szCs w:val="24"/>
          <w:lang w:val="fr-CH"/>
        </w:rPr>
        <w:t xml:space="preserve">le potentiel énergétique pour les propositions d’objectifs </w:t>
      </w:r>
      <w:r w:rsidR="00B525DE">
        <w:rPr>
          <w:sz w:val="20"/>
          <w:szCs w:val="24"/>
          <w:lang w:val="fr-CH"/>
        </w:rPr>
        <w:t>servant de base à</w:t>
      </w:r>
      <w:r w:rsidRPr="00A616B3">
        <w:rPr>
          <w:sz w:val="20"/>
          <w:szCs w:val="24"/>
          <w:lang w:val="fr-CH"/>
        </w:rPr>
        <w:t xml:space="preserve"> l’exemption de la taxe sur le </w:t>
      </w:r>
      <w:r w:rsidR="004F1A25" w:rsidRPr="00A616B3">
        <w:rPr>
          <w:sz w:val="20"/>
          <w:szCs w:val="24"/>
          <w:lang w:val="fr-CH"/>
        </w:rPr>
        <w:t>CO</w:t>
      </w:r>
      <w:r w:rsidR="004F1A25" w:rsidRPr="004F1A25">
        <w:rPr>
          <w:sz w:val="20"/>
          <w:szCs w:val="24"/>
          <w:vertAlign w:val="subscript"/>
          <w:lang w:val="fr-CH"/>
        </w:rPr>
        <w:t>2</w:t>
      </w:r>
      <w:r w:rsidR="008C3E48">
        <w:rPr>
          <w:sz w:val="20"/>
          <w:szCs w:val="24"/>
          <w:lang w:val="fr-CH"/>
        </w:rPr>
        <w:t>,</w:t>
      </w:r>
      <w:r w:rsidRPr="00A616B3">
        <w:rPr>
          <w:sz w:val="20"/>
          <w:szCs w:val="24"/>
          <w:lang w:val="fr-CH"/>
        </w:rPr>
        <w:t xml:space="preserve"> </w:t>
      </w:r>
      <w:r w:rsidR="00726AD4">
        <w:rPr>
          <w:sz w:val="20"/>
          <w:szCs w:val="24"/>
          <w:lang w:val="fr-CH"/>
        </w:rPr>
        <w:t>les</w:t>
      </w:r>
      <w:r w:rsidRPr="00A616B3">
        <w:rPr>
          <w:sz w:val="20"/>
          <w:szCs w:val="24"/>
          <w:lang w:val="fr-CH"/>
        </w:rPr>
        <w:t xml:space="preserve"> conventions d’objectifs</w:t>
      </w:r>
      <w:r w:rsidR="00024370">
        <w:rPr>
          <w:sz w:val="20"/>
          <w:szCs w:val="24"/>
          <w:lang w:val="fr-CH"/>
        </w:rPr>
        <w:t xml:space="preserve"> </w:t>
      </w:r>
      <w:r w:rsidR="00FC0C82">
        <w:rPr>
          <w:sz w:val="20"/>
          <w:szCs w:val="24"/>
          <w:lang w:val="fr-CH"/>
        </w:rPr>
        <w:t>nécessaires</w:t>
      </w:r>
      <w:r w:rsidR="0071371C">
        <w:rPr>
          <w:sz w:val="20"/>
          <w:szCs w:val="24"/>
          <w:lang w:val="fr-CH"/>
        </w:rPr>
        <w:t xml:space="preserve"> au remboursement du supplément ainsi </w:t>
      </w:r>
      <w:r w:rsidR="00726AD4">
        <w:rPr>
          <w:sz w:val="20"/>
          <w:szCs w:val="24"/>
          <w:lang w:val="fr-CH"/>
        </w:rPr>
        <w:t>que les</w:t>
      </w:r>
      <w:r w:rsidR="0071371C">
        <w:rPr>
          <w:sz w:val="20"/>
          <w:szCs w:val="24"/>
          <w:lang w:val="fr-CH"/>
        </w:rPr>
        <w:t xml:space="preserve"> conventions</w:t>
      </w:r>
      <w:r w:rsidR="00B525DE">
        <w:rPr>
          <w:sz w:val="20"/>
          <w:szCs w:val="24"/>
          <w:lang w:val="fr-CH"/>
        </w:rPr>
        <w:t xml:space="preserve"> d’objectifs universelles et </w:t>
      </w:r>
      <w:r w:rsidR="00726AD4">
        <w:rPr>
          <w:sz w:val="20"/>
          <w:szCs w:val="24"/>
          <w:lang w:val="fr-CH"/>
        </w:rPr>
        <w:t>les</w:t>
      </w:r>
      <w:r w:rsidR="0071371C">
        <w:rPr>
          <w:sz w:val="20"/>
          <w:szCs w:val="24"/>
          <w:lang w:val="fr-CH"/>
        </w:rPr>
        <w:t xml:space="preserve"> conventions d’objectifs volontaires</w:t>
      </w:r>
      <w:r w:rsidRPr="00A616B3">
        <w:rPr>
          <w:sz w:val="20"/>
          <w:szCs w:val="24"/>
          <w:lang w:val="fr-CH"/>
        </w:rPr>
        <w:t xml:space="preserve">. Les exigences et la conception des propositions et des conventions d’objectifs sont concrétisées conformément à la législation relative au </w:t>
      </w:r>
      <w:r w:rsidR="004F1A25" w:rsidRPr="00A616B3">
        <w:rPr>
          <w:sz w:val="20"/>
          <w:szCs w:val="24"/>
          <w:lang w:val="fr-CH"/>
        </w:rPr>
        <w:t>CO</w:t>
      </w:r>
      <w:r w:rsidR="004F1A25" w:rsidRPr="004F1A25">
        <w:rPr>
          <w:sz w:val="20"/>
          <w:szCs w:val="24"/>
          <w:vertAlign w:val="subscript"/>
          <w:lang w:val="fr-CH"/>
        </w:rPr>
        <w:t>2</w:t>
      </w:r>
      <w:r w:rsidRPr="00A616B3">
        <w:rPr>
          <w:sz w:val="20"/>
          <w:szCs w:val="24"/>
          <w:lang w:val="fr-CH"/>
        </w:rPr>
        <w:t xml:space="preserve"> et à l’énergie. Suivre le présent guide garantit que l’analyse des potentiels satisfait </w:t>
      </w:r>
      <w:r w:rsidR="00F65A08">
        <w:rPr>
          <w:sz w:val="20"/>
          <w:szCs w:val="24"/>
          <w:lang w:val="fr-CH"/>
        </w:rPr>
        <w:t>aux</w:t>
      </w:r>
      <w:r w:rsidR="00F65A08" w:rsidRPr="00A616B3">
        <w:rPr>
          <w:sz w:val="20"/>
          <w:szCs w:val="24"/>
          <w:lang w:val="fr-CH"/>
        </w:rPr>
        <w:t xml:space="preserve"> </w:t>
      </w:r>
      <w:r w:rsidRPr="00A616B3">
        <w:rPr>
          <w:sz w:val="20"/>
          <w:szCs w:val="24"/>
          <w:lang w:val="fr-CH"/>
        </w:rPr>
        <w:t xml:space="preserve">exigences de la Confédération </w:t>
      </w:r>
      <w:r w:rsidR="00B525DE">
        <w:rPr>
          <w:sz w:val="20"/>
          <w:szCs w:val="24"/>
          <w:lang w:val="fr-CH"/>
        </w:rPr>
        <w:t>en matière de</w:t>
      </w:r>
      <w:r w:rsidRPr="00A616B3">
        <w:rPr>
          <w:sz w:val="20"/>
          <w:szCs w:val="24"/>
          <w:lang w:val="fr-CH"/>
        </w:rPr>
        <w:t xml:space="preserve"> conventions et </w:t>
      </w:r>
      <w:r w:rsidR="00B525DE">
        <w:rPr>
          <w:sz w:val="20"/>
          <w:szCs w:val="24"/>
          <w:lang w:val="fr-CH"/>
        </w:rPr>
        <w:t>de</w:t>
      </w:r>
      <w:r w:rsidRPr="00A616B3">
        <w:rPr>
          <w:sz w:val="20"/>
          <w:szCs w:val="24"/>
          <w:lang w:val="fr-CH"/>
        </w:rPr>
        <w:t xml:space="preserve"> propositions d’objectifs.</w:t>
      </w:r>
    </w:p>
    <w:p w14:paraId="29063FF5" w14:textId="77777777" w:rsidR="00A616B3" w:rsidRPr="00A616B3" w:rsidRDefault="00A616B3" w:rsidP="00A616B3">
      <w:pPr>
        <w:spacing w:before="240" w:after="0" w:line="240" w:lineRule="atLeast"/>
        <w:ind w:right="680"/>
        <w:rPr>
          <w:b/>
          <w:sz w:val="20"/>
          <w:szCs w:val="24"/>
          <w:lang w:val="fr-CH"/>
        </w:rPr>
      </w:pPr>
      <w:r w:rsidRPr="00A616B3">
        <w:rPr>
          <w:b/>
          <w:sz w:val="20"/>
          <w:szCs w:val="24"/>
          <w:lang w:val="fr-CH"/>
        </w:rPr>
        <w:t>Clause de non-responsabilité et droits d’auteurs</w:t>
      </w:r>
    </w:p>
    <w:p w14:paraId="6FD05C17" w14:textId="45E340F5" w:rsidR="00A616B3" w:rsidRPr="00A616B3" w:rsidRDefault="00A616B3" w:rsidP="00A616B3">
      <w:pPr>
        <w:spacing w:before="240" w:after="0" w:line="240" w:lineRule="atLeast"/>
        <w:ind w:right="680"/>
        <w:jc w:val="both"/>
        <w:rPr>
          <w:sz w:val="20"/>
          <w:szCs w:val="24"/>
          <w:lang w:val="fr-CH"/>
        </w:rPr>
      </w:pPr>
      <w:r w:rsidRPr="00A616B3">
        <w:rPr>
          <w:sz w:val="20"/>
          <w:szCs w:val="24"/>
          <w:lang w:val="fr-CH"/>
        </w:rPr>
        <w:t xml:space="preserve">La présente publication décrit une procédure visant à </w:t>
      </w:r>
      <w:r w:rsidR="00726AD4">
        <w:rPr>
          <w:sz w:val="20"/>
          <w:szCs w:val="24"/>
          <w:lang w:val="fr-CH"/>
        </w:rPr>
        <w:t>établir</w:t>
      </w:r>
      <w:r w:rsidR="00726AD4" w:rsidRPr="00A616B3">
        <w:rPr>
          <w:sz w:val="20"/>
          <w:szCs w:val="24"/>
          <w:lang w:val="fr-CH"/>
        </w:rPr>
        <w:t xml:space="preserve"> </w:t>
      </w:r>
      <w:r w:rsidRPr="00A616B3">
        <w:rPr>
          <w:sz w:val="20"/>
          <w:szCs w:val="24"/>
          <w:lang w:val="fr-CH"/>
        </w:rPr>
        <w:t>le potentiel d’économies énergétiques au sein d’une entreprise. Les personnes intéressées peuvent aussi l’utiliser indépendamment de l’exemption de la taxe sur le CO</w:t>
      </w:r>
      <w:r w:rsidRPr="004F1A25">
        <w:rPr>
          <w:sz w:val="20"/>
          <w:szCs w:val="24"/>
          <w:vertAlign w:val="subscript"/>
          <w:lang w:val="fr-CH"/>
        </w:rPr>
        <w:t>2</w:t>
      </w:r>
      <w:r w:rsidR="0071371C">
        <w:rPr>
          <w:sz w:val="20"/>
          <w:szCs w:val="24"/>
          <w:lang w:val="fr-CH"/>
        </w:rPr>
        <w:t>, du remboursement du supplément ainsi que</w:t>
      </w:r>
      <w:r w:rsidRPr="00A616B3">
        <w:rPr>
          <w:sz w:val="20"/>
          <w:szCs w:val="24"/>
          <w:lang w:val="fr-CH"/>
        </w:rPr>
        <w:t xml:space="preserve"> des conventions d’objectifs</w:t>
      </w:r>
      <w:r w:rsidR="0071371C">
        <w:rPr>
          <w:sz w:val="20"/>
          <w:szCs w:val="24"/>
          <w:lang w:val="fr-CH"/>
        </w:rPr>
        <w:t xml:space="preserve"> universelles et des conventions d’objectifs volontaires</w:t>
      </w:r>
      <w:r w:rsidRPr="00A616B3">
        <w:rPr>
          <w:sz w:val="20"/>
          <w:szCs w:val="24"/>
          <w:lang w:val="fr-CH"/>
        </w:rPr>
        <w:t>. L’utilisation, le perfectionnement et l’automatisation de ce modèle sont autorisés sans restriction. Toute responsabilité est exclue, le cas échéant, pour des calculs et des résultats erronés ainsi que pour les dommages qui en découleraient.</w:t>
      </w:r>
    </w:p>
    <w:p w14:paraId="2769C024" w14:textId="77777777" w:rsidR="001B7D4E" w:rsidRDefault="00630446" w:rsidP="001B7D4E">
      <w:pPr>
        <w:tabs>
          <w:tab w:val="left" w:pos="567"/>
        </w:tabs>
        <w:ind w:left="567"/>
        <w:rPr>
          <w:rFonts w:eastAsia="Times New Roman"/>
          <w:sz w:val="20"/>
          <w:szCs w:val="24"/>
          <w:lang w:val="fr-CH" w:eastAsia="de-CH"/>
        </w:rPr>
      </w:pPr>
      <w:r w:rsidRPr="00A616B3">
        <w:rPr>
          <w:rFonts w:eastAsia="Times New Roman"/>
          <w:sz w:val="20"/>
          <w:szCs w:val="24"/>
          <w:lang w:val="fr-CH" w:eastAsia="de-CH"/>
        </w:rPr>
        <w:br w:type="page"/>
      </w:r>
      <w:r w:rsidR="00C47AA9">
        <w:rPr>
          <w:rFonts w:eastAsia="Times New Roman"/>
          <w:noProof/>
          <w:sz w:val="20"/>
          <w:szCs w:val="24"/>
          <w:lang w:eastAsia="de-CH"/>
        </w:rPr>
        <w:lastRenderedPageBreak/>
        <w:drawing>
          <wp:inline distT="0" distB="0" distL="0" distR="0" wp14:anchorId="2168178B" wp14:editId="315BFA6D">
            <wp:extent cx="6542405" cy="78041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542405" cy="7804150"/>
                    </a:xfrm>
                    <a:prstGeom prst="rect">
                      <a:avLst/>
                    </a:prstGeom>
                    <a:noFill/>
                    <a:ln w="9525">
                      <a:noFill/>
                      <a:miter lim="800000"/>
                      <a:headEnd/>
                      <a:tailEnd/>
                    </a:ln>
                  </pic:spPr>
                </pic:pic>
              </a:graphicData>
            </a:graphic>
          </wp:inline>
        </w:drawing>
      </w:r>
    </w:p>
    <w:p w14:paraId="1EFCDA34" w14:textId="77777777" w:rsidR="001B7D4E" w:rsidRDefault="001B7D4E" w:rsidP="004454FC">
      <w:pPr>
        <w:rPr>
          <w:rFonts w:eastAsia="Times New Roman"/>
          <w:sz w:val="20"/>
          <w:szCs w:val="24"/>
          <w:lang w:val="fr-CH" w:eastAsia="de-CH"/>
        </w:rPr>
      </w:pPr>
    </w:p>
    <w:p w14:paraId="654BCE69" w14:textId="77777777" w:rsidR="001B7D4E" w:rsidRDefault="001B7D4E" w:rsidP="004454FC">
      <w:pPr>
        <w:rPr>
          <w:rFonts w:eastAsia="Times New Roman"/>
          <w:sz w:val="20"/>
          <w:szCs w:val="24"/>
          <w:lang w:val="fr-CH" w:eastAsia="de-CH"/>
        </w:rPr>
      </w:pPr>
    </w:p>
    <w:p w14:paraId="283A83F6" w14:textId="77777777" w:rsidR="001B7D4E" w:rsidRDefault="001B7D4E" w:rsidP="004454FC">
      <w:pPr>
        <w:rPr>
          <w:rFonts w:eastAsia="Times New Roman"/>
          <w:sz w:val="20"/>
          <w:szCs w:val="24"/>
          <w:lang w:val="fr-CH" w:eastAsia="de-CH"/>
        </w:rPr>
      </w:pPr>
    </w:p>
    <w:p w14:paraId="67E54AD5" w14:textId="77777777" w:rsidR="001B7D4E" w:rsidRDefault="001B7D4E" w:rsidP="004454FC">
      <w:pPr>
        <w:rPr>
          <w:rFonts w:eastAsia="Times New Roman"/>
          <w:sz w:val="20"/>
          <w:szCs w:val="24"/>
          <w:lang w:val="fr-CH" w:eastAsia="de-CH"/>
        </w:rPr>
      </w:pPr>
    </w:p>
    <w:p w14:paraId="6274BEBE" w14:textId="77777777" w:rsidR="001B7D4E" w:rsidRDefault="001B7D4E" w:rsidP="004454FC">
      <w:pPr>
        <w:rPr>
          <w:rFonts w:eastAsia="Times New Roman"/>
          <w:sz w:val="20"/>
          <w:szCs w:val="24"/>
          <w:lang w:val="fr-CH" w:eastAsia="de-CH"/>
        </w:rPr>
      </w:pPr>
    </w:p>
    <w:p w14:paraId="33C67869" w14:textId="77777777" w:rsidR="002D142C" w:rsidRPr="00F65A08" w:rsidRDefault="001B7D4E" w:rsidP="004454FC">
      <w:pPr>
        <w:rPr>
          <w:b/>
          <w:sz w:val="24"/>
          <w:lang w:val="fr-CH"/>
        </w:rPr>
      </w:pPr>
      <w:r w:rsidRPr="00F65A08">
        <w:rPr>
          <w:b/>
          <w:sz w:val="24"/>
          <w:lang w:val="fr-CH"/>
        </w:rPr>
        <w:br w:type="page"/>
      </w:r>
      <w:r w:rsidR="004454FC" w:rsidRPr="00F65A08">
        <w:rPr>
          <w:b/>
          <w:sz w:val="24"/>
          <w:lang w:val="fr-CH"/>
        </w:rPr>
        <w:lastRenderedPageBreak/>
        <w:t>Table des matières</w:t>
      </w:r>
    </w:p>
    <w:p w14:paraId="63DA9F5C" w14:textId="77777777" w:rsidR="001B7D4E" w:rsidRPr="00F65A08" w:rsidRDefault="001B7D4E" w:rsidP="001B7D4E">
      <w:pPr>
        <w:pStyle w:val="Verzeichnis1"/>
        <w:rPr>
          <w:lang w:val="fr-CH"/>
        </w:rPr>
      </w:pPr>
      <w:r w:rsidRPr="00F65A08">
        <w:rPr>
          <w:lang w:val="fr-CH"/>
        </w:rPr>
        <w:t>Management Summary</w:t>
      </w:r>
      <w:r w:rsidRPr="00F65A08">
        <w:rPr>
          <w:lang w:val="fr-CH"/>
        </w:rPr>
        <w:tab/>
        <w:t>2</w:t>
      </w:r>
    </w:p>
    <w:p w14:paraId="55208548" w14:textId="77777777" w:rsidR="001B7D4E" w:rsidRDefault="001B7D4E" w:rsidP="001B7D4E">
      <w:pPr>
        <w:pStyle w:val="Verzeichnis1"/>
      </w:pPr>
      <w:r>
        <w:t>Préface</w:t>
      </w:r>
      <w:r w:rsidRPr="00F70391">
        <w:tab/>
        <w:t>3</w:t>
      </w:r>
    </w:p>
    <w:p w14:paraId="1E4736CE" w14:textId="77777777" w:rsidR="004A0EBA" w:rsidRDefault="003714FF">
      <w:pPr>
        <w:pStyle w:val="Verzeichnis1"/>
        <w:rPr>
          <w:rFonts w:asciiTheme="minorHAnsi" w:eastAsiaTheme="minorEastAsia" w:hAnsiTheme="minorHAnsi" w:cstheme="minorBidi"/>
          <w:noProof/>
          <w:lang w:eastAsia="de-CH"/>
        </w:rPr>
      </w:pPr>
      <w:r w:rsidRPr="00B4595A">
        <w:fldChar w:fldCharType="begin"/>
      </w:r>
      <w:r w:rsidR="00FF0E2C" w:rsidRPr="00B4595A">
        <w:instrText xml:space="preserve"> TOC \o "1-3" \h \z \u </w:instrText>
      </w:r>
      <w:r w:rsidRPr="00B4595A">
        <w:fldChar w:fldCharType="separate"/>
      </w:r>
      <w:hyperlink w:anchor="_Toc421696259" w:history="1">
        <w:r w:rsidR="004A0EBA" w:rsidRPr="00433CBE">
          <w:rPr>
            <w:rStyle w:val="Hyperlink"/>
            <w:noProof/>
          </w:rPr>
          <w:t>1</w:t>
        </w:r>
        <w:r w:rsidR="004A0EBA">
          <w:rPr>
            <w:rFonts w:asciiTheme="minorHAnsi" w:eastAsiaTheme="minorEastAsia" w:hAnsiTheme="minorHAnsi" w:cstheme="minorBidi"/>
            <w:noProof/>
            <w:lang w:eastAsia="de-CH"/>
          </w:rPr>
          <w:tab/>
        </w:r>
        <w:r w:rsidR="004A0EBA" w:rsidRPr="00433CBE">
          <w:rPr>
            <w:rStyle w:val="Hyperlink"/>
            <w:noProof/>
          </w:rPr>
          <w:t>Introduction</w:t>
        </w:r>
        <w:r w:rsidR="004A0EBA">
          <w:rPr>
            <w:noProof/>
            <w:webHidden/>
          </w:rPr>
          <w:tab/>
        </w:r>
        <w:r w:rsidR="004A0EBA">
          <w:rPr>
            <w:noProof/>
            <w:webHidden/>
          </w:rPr>
          <w:fldChar w:fldCharType="begin"/>
        </w:r>
        <w:r w:rsidR="004A0EBA">
          <w:rPr>
            <w:noProof/>
            <w:webHidden/>
          </w:rPr>
          <w:instrText xml:space="preserve"> PAGEREF _Toc421696259 \h </w:instrText>
        </w:r>
        <w:r w:rsidR="004A0EBA">
          <w:rPr>
            <w:noProof/>
            <w:webHidden/>
          </w:rPr>
        </w:r>
        <w:r w:rsidR="004A0EBA">
          <w:rPr>
            <w:noProof/>
            <w:webHidden/>
          </w:rPr>
          <w:fldChar w:fldCharType="separate"/>
        </w:r>
        <w:r w:rsidR="004A0EBA">
          <w:rPr>
            <w:noProof/>
            <w:webHidden/>
          </w:rPr>
          <w:t>6</w:t>
        </w:r>
        <w:r w:rsidR="004A0EBA">
          <w:rPr>
            <w:noProof/>
            <w:webHidden/>
          </w:rPr>
          <w:fldChar w:fldCharType="end"/>
        </w:r>
      </w:hyperlink>
    </w:p>
    <w:p w14:paraId="2D0E2F1D" w14:textId="77777777" w:rsidR="004A0EBA" w:rsidRDefault="00584FFB">
      <w:pPr>
        <w:pStyle w:val="Verzeichnis2"/>
        <w:rPr>
          <w:rFonts w:asciiTheme="minorHAnsi" w:eastAsiaTheme="minorEastAsia" w:hAnsiTheme="minorHAnsi" w:cstheme="minorBidi"/>
          <w:noProof/>
          <w:lang w:eastAsia="de-CH"/>
        </w:rPr>
      </w:pPr>
      <w:hyperlink w:anchor="_Toc421696260" w:history="1">
        <w:r w:rsidR="004A0EBA" w:rsidRPr="00433CBE">
          <w:rPr>
            <w:rStyle w:val="Hyperlink"/>
            <w:noProof/>
          </w:rPr>
          <w:t>1.1</w:t>
        </w:r>
        <w:r w:rsidR="004A0EBA">
          <w:rPr>
            <w:rFonts w:asciiTheme="minorHAnsi" w:eastAsiaTheme="minorEastAsia" w:hAnsiTheme="minorHAnsi" w:cstheme="minorBidi"/>
            <w:noProof/>
            <w:lang w:eastAsia="de-CH"/>
          </w:rPr>
          <w:tab/>
        </w:r>
        <w:r w:rsidR="004A0EBA" w:rsidRPr="00433CBE">
          <w:rPr>
            <w:rStyle w:val="Hyperlink"/>
            <w:noProof/>
          </w:rPr>
          <w:t>Quand faut-il/faudrait-il effectuer une analyse des potentiels?</w:t>
        </w:r>
        <w:r w:rsidR="004A0EBA">
          <w:rPr>
            <w:noProof/>
            <w:webHidden/>
          </w:rPr>
          <w:tab/>
        </w:r>
        <w:r w:rsidR="004A0EBA">
          <w:rPr>
            <w:noProof/>
            <w:webHidden/>
          </w:rPr>
          <w:fldChar w:fldCharType="begin"/>
        </w:r>
        <w:r w:rsidR="004A0EBA">
          <w:rPr>
            <w:noProof/>
            <w:webHidden/>
          </w:rPr>
          <w:instrText xml:space="preserve"> PAGEREF _Toc421696260 \h </w:instrText>
        </w:r>
        <w:r w:rsidR="004A0EBA">
          <w:rPr>
            <w:noProof/>
            <w:webHidden/>
          </w:rPr>
        </w:r>
        <w:r w:rsidR="004A0EBA">
          <w:rPr>
            <w:noProof/>
            <w:webHidden/>
          </w:rPr>
          <w:fldChar w:fldCharType="separate"/>
        </w:r>
        <w:r w:rsidR="004A0EBA">
          <w:rPr>
            <w:noProof/>
            <w:webHidden/>
          </w:rPr>
          <w:t>6</w:t>
        </w:r>
        <w:r w:rsidR="004A0EBA">
          <w:rPr>
            <w:noProof/>
            <w:webHidden/>
          </w:rPr>
          <w:fldChar w:fldCharType="end"/>
        </w:r>
      </w:hyperlink>
    </w:p>
    <w:p w14:paraId="143240CE" w14:textId="77777777" w:rsidR="004A0EBA" w:rsidRDefault="00584FFB">
      <w:pPr>
        <w:pStyle w:val="Verzeichnis2"/>
        <w:rPr>
          <w:rFonts w:asciiTheme="minorHAnsi" w:eastAsiaTheme="minorEastAsia" w:hAnsiTheme="minorHAnsi" w:cstheme="minorBidi"/>
          <w:noProof/>
          <w:lang w:eastAsia="de-CH"/>
        </w:rPr>
      </w:pPr>
      <w:hyperlink w:anchor="_Toc421696261" w:history="1">
        <w:r w:rsidR="004A0EBA" w:rsidRPr="00433CBE">
          <w:rPr>
            <w:rStyle w:val="Hyperlink"/>
            <w:noProof/>
          </w:rPr>
          <w:t>1.2</w:t>
        </w:r>
        <w:r w:rsidR="004A0EBA">
          <w:rPr>
            <w:rFonts w:asciiTheme="minorHAnsi" w:eastAsiaTheme="minorEastAsia" w:hAnsiTheme="minorHAnsi" w:cstheme="minorBidi"/>
            <w:noProof/>
            <w:lang w:eastAsia="de-CH"/>
          </w:rPr>
          <w:tab/>
        </w:r>
        <w:r w:rsidR="004A0EBA" w:rsidRPr="00433CBE">
          <w:rPr>
            <w:rStyle w:val="Hyperlink"/>
            <w:noProof/>
          </w:rPr>
          <w:t>Simplifications</w:t>
        </w:r>
        <w:r w:rsidR="004A0EBA">
          <w:rPr>
            <w:noProof/>
            <w:webHidden/>
          </w:rPr>
          <w:tab/>
        </w:r>
        <w:r w:rsidR="004A0EBA">
          <w:rPr>
            <w:noProof/>
            <w:webHidden/>
          </w:rPr>
          <w:fldChar w:fldCharType="begin"/>
        </w:r>
        <w:r w:rsidR="004A0EBA">
          <w:rPr>
            <w:noProof/>
            <w:webHidden/>
          </w:rPr>
          <w:instrText xml:space="preserve"> PAGEREF _Toc421696261 \h </w:instrText>
        </w:r>
        <w:r w:rsidR="004A0EBA">
          <w:rPr>
            <w:noProof/>
            <w:webHidden/>
          </w:rPr>
        </w:r>
        <w:r w:rsidR="004A0EBA">
          <w:rPr>
            <w:noProof/>
            <w:webHidden/>
          </w:rPr>
          <w:fldChar w:fldCharType="separate"/>
        </w:r>
        <w:r w:rsidR="004A0EBA">
          <w:rPr>
            <w:noProof/>
            <w:webHidden/>
          </w:rPr>
          <w:t>6</w:t>
        </w:r>
        <w:r w:rsidR="004A0EBA">
          <w:rPr>
            <w:noProof/>
            <w:webHidden/>
          </w:rPr>
          <w:fldChar w:fldCharType="end"/>
        </w:r>
      </w:hyperlink>
    </w:p>
    <w:p w14:paraId="66ECED6F" w14:textId="77777777" w:rsidR="004A0EBA" w:rsidRDefault="00584FFB">
      <w:pPr>
        <w:pStyle w:val="Verzeichnis2"/>
        <w:rPr>
          <w:rFonts w:asciiTheme="minorHAnsi" w:eastAsiaTheme="minorEastAsia" w:hAnsiTheme="minorHAnsi" w:cstheme="minorBidi"/>
          <w:noProof/>
          <w:lang w:eastAsia="de-CH"/>
        </w:rPr>
      </w:pPr>
      <w:hyperlink w:anchor="_Toc421696262" w:history="1">
        <w:r w:rsidR="004A0EBA" w:rsidRPr="00433CBE">
          <w:rPr>
            <w:rStyle w:val="Hyperlink"/>
            <w:noProof/>
          </w:rPr>
          <w:t>1.3</w:t>
        </w:r>
        <w:r w:rsidR="004A0EBA">
          <w:rPr>
            <w:rFonts w:asciiTheme="minorHAnsi" w:eastAsiaTheme="minorEastAsia" w:hAnsiTheme="minorHAnsi" w:cstheme="minorBidi"/>
            <w:noProof/>
            <w:lang w:eastAsia="de-CH"/>
          </w:rPr>
          <w:tab/>
        </w:r>
        <w:r w:rsidR="004A0EBA" w:rsidRPr="00433CBE">
          <w:rPr>
            <w:rStyle w:val="Hyperlink"/>
            <w:noProof/>
          </w:rPr>
          <w:t>But des différents chapitres</w:t>
        </w:r>
        <w:r w:rsidR="004A0EBA">
          <w:rPr>
            <w:noProof/>
            <w:webHidden/>
          </w:rPr>
          <w:tab/>
        </w:r>
        <w:r w:rsidR="004A0EBA">
          <w:rPr>
            <w:noProof/>
            <w:webHidden/>
          </w:rPr>
          <w:fldChar w:fldCharType="begin"/>
        </w:r>
        <w:r w:rsidR="004A0EBA">
          <w:rPr>
            <w:noProof/>
            <w:webHidden/>
          </w:rPr>
          <w:instrText xml:space="preserve"> PAGEREF _Toc421696262 \h </w:instrText>
        </w:r>
        <w:r w:rsidR="004A0EBA">
          <w:rPr>
            <w:noProof/>
            <w:webHidden/>
          </w:rPr>
        </w:r>
        <w:r w:rsidR="004A0EBA">
          <w:rPr>
            <w:noProof/>
            <w:webHidden/>
          </w:rPr>
          <w:fldChar w:fldCharType="separate"/>
        </w:r>
        <w:r w:rsidR="004A0EBA">
          <w:rPr>
            <w:noProof/>
            <w:webHidden/>
          </w:rPr>
          <w:t>10</w:t>
        </w:r>
        <w:r w:rsidR="004A0EBA">
          <w:rPr>
            <w:noProof/>
            <w:webHidden/>
          </w:rPr>
          <w:fldChar w:fldCharType="end"/>
        </w:r>
      </w:hyperlink>
    </w:p>
    <w:p w14:paraId="2A5DA9EC" w14:textId="77777777" w:rsidR="004A0EBA" w:rsidRDefault="00584FFB">
      <w:pPr>
        <w:pStyle w:val="Verzeichnis2"/>
        <w:rPr>
          <w:rFonts w:asciiTheme="minorHAnsi" w:eastAsiaTheme="minorEastAsia" w:hAnsiTheme="minorHAnsi" w:cstheme="minorBidi"/>
          <w:noProof/>
          <w:lang w:eastAsia="de-CH"/>
        </w:rPr>
      </w:pPr>
      <w:hyperlink w:anchor="_Toc421696263" w:history="1">
        <w:r w:rsidR="004A0EBA" w:rsidRPr="00433CBE">
          <w:rPr>
            <w:rStyle w:val="Hyperlink"/>
            <w:noProof/>
          </w:rPr>
          <w:t>1.4</w:t>
        </w:r>
        <w:r w:rsidR="004A0EBA">
          <w:rPr>
            <w:rFonts w:asciiTheme="minorHAnsi" w:eastAsiaTheme="minorEastAsia" w:hAnsiTheme="minorHAnsi" w:cstheme="minorBidi"/>
            <w:noProof/>
            <w:lang w:eastAsia="de-CH"/>
          </w:rPr>
          <w:tab/>
        </w:r>
        <w:r w:rsidR="004A0EBA" w:rsidRPr="00433CBE">
          <w:rPr>
            <w:rStyle w:val="Hyperlink"/>
            <w:noProof/>
          </w:rPr>
          <w:t>Remplir l’analyse des potentiels</w:t>
        </w:r>
        <w:r w:rsidR="004A0EBA">
          <w:rPr>
            <w:noProof/>
            <w:webHidden/>
          </w:rPr>
          <w:tab/>
        </w:r>
        <w:r w:rsidR="004A0EBA">
          <w:rPr>
            <w:noProof/>
            <w:webHidden/>
          </w:rPr>
          <w:fldChar w:fldCharType="begin"/>
        </w:r>
        <w:r w:rsidR="004A0EBA">
          <w:rPr>
            <w:noProof/>
            <w:webHidden/>
          </w:rPr>
          <w:instrText xml:space="preserve"> PAGEREF _Toc421696263 \h </w:instrText>
        </w:r>
        <w:r w:rsidR="004A0EBA">
          <w:rPr>
            <w:noProof/>
            <w:webHidden/>
          </w:rPr>
        </w:r>
        <w:r w:rsidR="004A0EBA">
          <w:rPr>
            <w:noProof/>
            <w:webHidden/>
          </w:rPr>
          <w:fldChar w:fldCharType="separate"/>
        </w:r>
        <w:r w:rsidR="004A0EBA">
          <w:rPr>
            <w:noProof/>
            <w:webHidden/>
          </w:rPr>
          <w:t>12</w:t>
        </w:r>
        <w:r w:rsidR="004A0EBA">
          <w:rPr>
            <w:noProof/>
            <w:webHidden/>
          </w:rPr>
          <w:fldChar w:fldCharType="end"/>
        </w:r>
      </w:hyperlink>
    </w:p>
    <w:p w14:paraId="664C7A1B" w14:textId="77777777" w:rsidR="004A0EBA" w:rsidRDefault="00584FFB">
      <w:pPr>
        <w:pStyle w:val="Verzeichnis3"/>
        <w:rPr>
          <w:rFonts w:asciiTheme="minorHAnsi" w:eastAsiaTheme="minorEastAsia" w:hAnsiTheme="minorHAnsi" w:cstheme="minorBidi"/>
          <w:noProof/>
          <w:lang w:eastAsia="de-CH"/>
        </w:rPr>
      </w:pPr>
      <w:hyperlink w:anchor="_Toc421696264" w:history="1">
        <w:r w:rsidR="004A0EBA" w:rsidRPr="00433CBE">
          <w:rPr>
            <w:rStyle w:val="Hyperlink"/>
            <w:noProof/>
          </w:rPr>
          <w:t>1.4.1</w:t>
        </w:r>
        <w:r w:rsidR="004A0EBA">
          <w:rPr>
            <w:rFonts w:asciiTheme="minorHAnsi" w:eastAsiaTheme="minorEastAsia" w:hAnsiTheme="minorHAnsi" w:cstheme="minorBidi"/>
            <w:noProof/>
            <w:lang w:eastAsia="de-CH"/>
          </w:rPr>
          <w:tab/>
        </w:r>
        <w:r w:rsidR="004A0EBA" w:rsidRPr="00433CBE">
          <w:rPr>
            <w:rStyle w:val="Hyperlink"/>
            <w:noProof/>
          </w:rPr>
          <w:t>Formulaires</w:t>
        </w:r>
        <w:r w:rsidR="004A0EBA">
          <w:rPr>
            <w:noProof/>
            <w:webHidden/>
          </w:rPr>
          <w:tab/>
        </w:r>
        <w:r w:rsidR="004A0EBA">
          <w:rPr>
            <w:noProof/>
            <w:webHidden/>
          </w:rPr>
          <w:fldChar w:fldCharType="begin"/>
        </w:r>
        <w:r w:rsidR="004A0EBA">
          <w:rPr>
            <w:noProof/>
            <w:webHidden/>
          </w:rPr>
          <w:instrText xml:space="preserve"> PAGEREF _Toc421696264 \h </w:instrText>
        </w:r>
        <w:r w:rsidR="004A0EBA">
          <w:rPr>
            <w:noProof/>
            <w:webHidden/>
          </w:rPr>
        </w:r>
        <w:r w:rsidR="004A0EBA">
          <w:rPr>
            <w:noProof/>
            <w:webHidden/>
          </w:rPr>
          <w:fldChar w:fldCharType="separate"/>
        </w:r>
        <w:r w:rsidR="004A0EBA">
          <w:rPr>
            <w:noProof/>
            <w:webHidden/>
          </w:rPr>
          <w:t>12</w:t>
        </w:r>
        <w:r w:rsidR="004A0EBA">
          <w:rPr>
            <w:noProof/>
            <w:webHidden/>
          </w:rPr>
          <w:fldChar w:fldCharType="end"/>
        </w:r>
      </w:hyperlink>
    </w:p>
    <w:p w14:paraId="1EF54091" w14:textId="77777777" w:rsidR="004A0EBA" w:rsidRDefault="00584FFB">
      <w:pPr>
        <w:pStyle w:val="Verzeichnis3"/>
        <w:rPr>
          <w:rFonts w:asciiTheme="minorHAnsi" w:eastAsiaTheme="minorEastAsia" w:hAnsiTheme="minorHAnsi" w:cstheme="minorBidi"/>
          <w:noProof/>
          <w:lang w:eastAsia="de-CH"/>
        </w:rPr>
      </w:pPr>
      <w:hyperlink w:anchor="_Toc421696265" w:history="1">
        <w:r w:rsidR="004A0EBA" w:rsidRPr="00433CBE">
          <w:rPr>
            <w:rStyle w:val="Hyperlink"/>
            <w:noProof/>
            <w:lang w:val="fr-CH"/>
          </w:rPr>
          <w:t>1.4.2</w:t>
        </w:r>
        <w:r w:rsidR="004A0EBA">
          <w:rPr>
            <w:rFonts w:asciiTheme="minorHAnsi" w:eastAsiaTheme="minorEastAsia" w:hAnsiTheme="minorHAnsi" w:cstheme="minorBidi"/>
            <w:noProof/>
            <w:lang w:eastAsia="de-CH"/>
          </w:rPr>
          <w:tab/>
        </w:r>
        <w:r w:rsidR="004A0EBA" w:rsidRPr="00433CBE">
          <w:rPr>
            <w:rStyle w:val="Hyperlink"/>
            <w:noProof/>
            <w:lang w:val="fr-CH"/>
          </w:rPr>
          <w:t>Rapport sur l’analyse des potentiels</w:t>
        </w:r>
        <w:r w:rsidR="004A0EBA">
          <w:rPr>
            <w:noProof/>
            <w:webHidden/>
          </w:rPr>
          <w:tab/>
        </w:r>
        <w:r w:rsidR="004A0EBA">
          <w:rPr>
            <w:noProof/>
            <w:webHidden/>
          </w:rPr>
          <w:fldChar w:fldCharType="begin"/>
        </w:r>
        <w:r w:rsidR="004A0EBA">
          <w:rPr>
            <w:noProof/>
            <w:webHidden/>
          </w:rPr>
          <w:instrText xml:space="preserve"> PAGEREF _Toc421696265 \h </w:instrText>
        </w:r>
        <w:r w:rsidR="004A0EBA">
          <w:rPr>
            <w:noProof/>
            <w:webHidden/>
          </w:rPr>
        </w:r>
        <w:r w:rsidR="004A0EBA">
          <w:rPr>
            <w:noProof/>
            <w:webHidden/>
          </w:rPr>
          <w:fldChar w:fldCharType="separate"/>
        </w:r>
        <w:r w:rsidR="004A0EBA">
          <w:rPr>
            <w:noProof/>
            <w:webHidden/>
          </w:rPr>
          <w:t>13</w:t>
        </w:r>
        <w:r w:rsidR="004A0EBA">
          <w:rPr>
            <w:noProof/>
            <w:webHidden/>
          </w:rPr>
          <w:fldChar w:fldCharType="end"/>
        </w:r>
      </w:hyperlink>
    </w:p>
    <w:p w14:paraId="41BABD96" w14:textId="77777777" w:rsidR="004A0EBA" w:rsidRDefault="00584FFB">
      <w:pPr>
        <w:pStyle w:val="Verzeichnis1"/>
        <w:rPr>
          <w:rFonts w:asciiTheme="minorHAnsi" w:eastAsiaTheme="minorEastAsia" w:hAnsiTheme="minorHAnsi" w:cstheme="minorBidi"/>
          <w:noProof/>
          <w:lang w:eastAsia="de-CH"/>
        </w:rPr>
      </w:pPr>
      <w:hyperlink w:anchor="_Toc421696266" w:history="1">
        <w:r w:rsidR="004A0EBA" w:rsidRPr="00433CBE">
          <w:rPr>
            <w:rStyle w:val="Hyperlink"/>
            <w:noProof/>
          </w:rPr>
          <w:t>2</w:t>
        </w:r>
        <w:r w:rsidR="004A0EBA">
          <w:rPr>
            <w:rFonts w:asciiTheme="minorHAnsi" w:eastAsiaTheme="minorEastAsia" w:hAnsiTheme="minorHAnsi" w:cstheme="minorBidi"/>
            <w:noProof/>
            <w:lang w:eastAsia="de-CH"/>
          </w:rPr>
          <w:tab/>
        </w:r>
        <w:r w:rsidR="004A0EBA" w:rsidRPr="00433CBE">
          <w:rPr>
            <w:rStyle w:val="Hyperlink"/>
            <w:noProof/>
          </w:rPr>
          <w:t>Situation de départ</w:t>
        </w:r>
        <w:r w:rsidR="004A0EBA">
          <w:rPr>
            <w:noProof/>
            <w:webHidden/>
          </w:rPr>
          <w:tab/>
        </w:r>
        <w:r w:rsidR="004A0EBA">
          <w:rPr>
            <w:noProof/>
            <w:webHidden/>
          </w:rPr>
          <w:fldChar w:fldCharType="begin"/>
        </w:r>
        <w:r w:rsidR="004A0EBA">
          <w:rPr>
            <w:noProof/>
            <w:webHidden/>
          </w:rPr>
          <w:instrText xml:space="preserve"> PAGEREF _Toc421696266 \h </w:instrText>
        </w:r>
        <w:r w:rsidR="004A0EBA">
          <w:rPr>
            <w:noProof/>
            <w:webHidden/>
          </w:rPr>
        </w:r>
        <w:r w:rsidR="004A0EBA">
          <w:rPr>
            <w:noProof/>
            <w:webHidden/>
          </w:rPr>
          <w:fldChar w:fldCharType="separate"/>
        </w:r>
        <w:r w:rsidR="004A0EBA">
          <w:rPr>
            <w:noProof/>
            <w:webHidden/>
          </w:rPr>
          <w:t>15</w:t>
        </w:r>
        <w:r w:rsidR="004A0EBA">
          <w:rPr>
            <w:noProof/>
            <w:webHidden/>
          </w:rPr>
          <w:fldChar w:fldCharType="end"/>
        </w:r>
      </w:hyperlink>
    </w:p>
    <w:p w14:paraId="34080533" w14:textId="77777777" w:rsidR="004A0EBA" w:rsidRDefault="00584FFB">
      <w:pPr>
        <w:pStyle w:val="Verzeichnis2"/>
        <w:rPr>
          <w:rFonts w:asciiTheme="minorHAnsi" w:eastAsiaTheme="minorEastAsia" w:hAnsiTheme="minorHAnsi" w:cstheme="minorBidi"/>
          <w:noProof/>
          <w:lang w:eastAsia="de-CH"/>
        </w:rPr>
      </w:pPr>
      <w:hyperlink w:anchor="_Toc421696267" w:history="1">
        <w:r w:rsidR="004A0EBA" w:rsidRPr="00433CBE">
          <w:rPr>
            <w:rStyle w:val="Hyperlink"/>
            <w:noProof/>
          </w:rPr>
          <w:t>2.1</w:t>
        </w:r>
        <w:r w:rsidR="004A0EBA">
          <w:rPr>
            <w:rFonts w:asciiTheme="minorHAnsi" w:eastAsiaTheme="minorEastAsia" w:hAnsiTheme="minorHAnsi" w:cstheme="minorBidi"/>
            <w:noProof/>
            <w:lang w:eastAsia="de-CH"/>
          </w:rPr>
          <w:tab/>
        </w:r>
        <w:r w:rsidR="004A0EBA" w:rsidRPr="00433CBE">
          <w:rPr>
            <w:rStyle w:val="Hyperlink"/>
            <w:noProof/>
          </w:rPr>
          <w:t>Entreprise, site de production, responsable du dossier</w:t>
        </w:r>
        <w:r w:rsidR="004A0EBA">
          <w:rPr>
            <w:noProof/>
            <w:webHidden/>
          </w:rPr>
          <w:tab/>
        </w:r>
        <w:r w:rsidR="004A0EBA">
          <w:rPr>
            <w:noProof/>
            <w:webHidden/>
          </w:rPr>
          <w:fldChar w:fldCharType="begin"/>
        </w:r>
        <w:r w:rsidR="004A0EBA">
          <w:rPr>
            <w:noProof/>
            <w:webHidden/>
          </w:rPr>
          <w:instrText xml:space="preserve"> PAGEREF _Toc421696267 \h </w:instrText>
        </w:r>
        <w:r w:rsidR="004A0EBA">
          <w:rPr>
            <w:noProof/>
            <w:webHidden/>
          </w:rPr>
        </w:r>
        <w:r w:rsidR="004A0EBA">
          <w:rPr>
            <w:noProof/>
            <w:webHidden/>
          </w:rPr>
          <w:fldChar w:fldCharType="separate"/>
        </w:r>
        <w:r w:rsidR="004A0EBA">
          <w:rPr>
            <w:noProof/>
            <w:webHidden/>
          </w:rPr>
          <w:t>15</w:t>
        </w:r>
        <w:r w:rsidR="004A0EBA">
          <w:rPr>
            <w:noProof/>
            <w:webHidden/>
          </w:rPr>
          <w:fldChar w:fldCharType="end"/>
        </w:r>
      </w:hyperlink>
    </w:p>
    <w:p w14:paraId="32BC49F9" w14:textId="77777777" w:rsidR="004A0EBA" w:rsidRDefault="00584FFB">
      <w:pPr>
        <w:pStyle w:val="Verzeichnis2"/>
        <w:rPr>
          <w:rFonts w:asciiTheme="minorHAnsi" w:eastAsiaTheme="minorEastAsia" w:hAnsiTheme="minorHAnsi" w:cstheme="minorBidi"/>
          <w:noProof/>
          <w:lang w:eastAsia="de-CH"/>
        </w:rPr>
      </w:pPr>
      <w:hyperlink w:anchor="_Toc421696268" w:history="1">
        <w:r w:rsidR="004A0EBA" w:rsidRPr="00433CBE">
          <w:rPr>
            <w:rStyle w:val="Hyperlink"/>
            <w:noProof/>
          </w:rPr>
          <w:t>2.2</w:t>
        </w:r>
        <w:r w:rsidR="004A0EBA">
          <w:rPr>
            <w:rFonts w:asciiTheme="minorHAnsi" w:eastAsiaTheme="minorEastAsia" w:hAnsiTheme="minorHAnsi" w:cstheme="minorBidi"/>
            <w:noProof/>
            <w:lang w:eastAsia="de-CH"/>
          </w:rPr>
          <w:tab/>
        </w:r>
        <w:r w:rsidR="004A0EBA" w:rsidRPr="00433CBE">
          <w:rPr>
            <w:rStyle w:val="Hyperlink"/>
            <w:noProof/>
          </w:rPr>
          <w:t>Modifications juridiques (prévues) de l’entreprise</w:t>
        </w:r>
        <w:r w:rsidR="004A0EBA">
          <w:rPr>
            <w:noProof/>
            <w:webHidden/>
          </w:rPr>
          <w:tab/>
        </w:r>
        <w:r w:rsidR="004A0EBA">
          <w:rPr>
            <w:noProof/>
            <w:webHidden/>
          </w:rPr>
          <w:fldChar w:fldCharType="begin"/>
        </w:r>
        <w:r w:rsidR="004A0EBA">
          <w:rPr>
            <w:noProof/>
            <w:webHidden/>
          </w:rPr>
          <w:instrText xml:space="preserve"> PAGEREF _Toc421696268 \h </w:instrText>
        </w:r>
        <w:r w:rsidR="004A0EBA">
          <w:rPr>
            <w:noProof/>
            <w:webHidden/>
          </w:rPr>
        </w:r>
        <w:r w:rsidR="004A0EBA">
          <w:rPr>
            <w:noProof/>
            <w:webHidden/>
          </w:rPr>
          <w:fldChar w:fldCharType="separate"/>
        </w:r>
        <w:r w:rsidR="004A0EBA">
          <w:rPr>
            <w:noProof/>
            <w:webHidden/>
          </w:rPr>
          <w:t>16</w:t>
        </w:r>
        <w:r w:rsidR="004A0EBA">
          <w:rPr>
            <w:noProof/>
            <w:webHidden/>
          </w:rPr>
          <w:fldChar w:fldCharType="end"/>
        </w:r>
      </w:hyperlink>
    </w:p>
    <w:p w14:paraId="7C6EA421" w14:textId="77777777" w:rsidR="004A0EBA" w:rsidRDefault="00584FFB">
      <w:pPr>
        <w:pStyle w:val="Verzeichnis2"/>
        <w:rPr>
          <w:rFonts w:asciiTheme="minorHAnsi" w:eastAsiaTheme="minorEastAsia" w:hAnsiTheme="minorHAnsi" w:cstheme="minorBidi"/>
          <w:noProof/>
          <w:lang w:eastAsia="de-CH"/>
        </w:rPr>
      </w:pPr>
      <w:hyperlink w:anchor="_Toc421696269" w:history="1">
        <w:r w:rsidR="004A0EBA" w:rsidRPr="00433CBE">
          <w:rPr>
            <w:rStyle w:val="Hyperlink"/>
            <w:noProof/>
          </w:rPr>
          <w:t>2.3</w:t>
        </w:r>
        <w:r w:rsidR="004A0EBA">
          <w:rPr>
            <w:rFonts w:asciiTheme="minorHAnsi" w:eastAsiaTheme="minorEastAsia" w:hAnsiTheme="minorHAnsi" w:cstheme="minorBidi"/>
            <w:noProof/>
            <w:lang w:eastAsia="de-CH"/>
          </w:rPr>
          <w:tab/>
        </w:r>
        <w:r w:rsidR="004A0EBA" w:rsidRPr="00433CBE">
          <w:rPr>
            <w:rStyle w:val="Hyperlink"/>
            <w:noProof/>
          </w:rPr>
          <w:t>Modifications prévues des procédés/capacités, projets de transformation</w:t>
        </w:r>
        <w:r w:rsidR="004A0EBA">
          <w:rPr>
            <w:noProof/>
            <w:webHidden/>
          </w:rPr>
          <w:tab/>
        </w:r>
        <w:r w:rsidR="004A0EBA">
          <w:rPr>
            <w:noProof/>
            <w:webHidden/>
          </w:rPr>
          <w:fldChar w:fldCharType="begin"/>
        </w:r>
        <w:r w:rsidR="004A0EBA">
          <w:rPr>
            <w:noProof/>
            <w:webHidden/>
          </w:rPr>
          <w:instrText xml:space="preserve"> PAGEREF _Toc421696269 \h </w:instrText>
        </w:r>
        <w:r w:rsidR="004A0EBA">
          <w:rPr>
            <w:noProof/>
            <w:webHidden/>
          </w:rPr>
        </w:r>
        <w:r w:rsidR="004A0EBA">
          <w:rPr>
            <w:noProof/>
            <w:webHidden/>
          </w:rPr>
          <w:fldChar w:fldCharType="separate"/>
        </w:r>
        <w:r w:rsidR="004A0EBA">
          <w:rPr>
            <w:noProof/>
            <w:webHidden/>
          </w:rPr>
          <w:t>16</w:t>
        </w:r>
        <w:r w:rsidR="004A0EBA">
          <w:rPr>
            <w:noProof/>
            <w:webHidden/>
          </w:rPr>
          <w:fldChar w:fldCharType="end"/>
        </w:r>
      </w:hyperlink>
    </w:p>
    <w:p w14:paraId="3B9B7B8D" w14:textId="77777777" w:rsidR="004A0EBA" w:rsidRDefault="00584FFB">
      <w:pPr>
        <w:pStyle w:val="Verzeichnis1"/>
        <w:rPr>
          <w:rFonts w:asciiTheme="minorHAnsi" w:eastAsiaTheme="minorEastAsia" w:hAnsiTheme="minorHAnsi" w:cstheme="minorBidi"/>
          <w:noProof/>
          <w:lang w:eastAsia="de-CH"/>
        </w:rPr>
      </w:pPr>
      <w:hyperlink w:anchor="_Toc421696270" w:history="1">
        <w:r w:rsidR="004A0EBA" w:rsidRPr="00433CBE">
          <w:rPr>
            <w:rStyle w:val="Hyperlink"/>
            <w:noProof/>
            <w:lang w:val="fr-CH"/>
          </w:rPr>
          <w:t>3</w:t>
        </w:r>
        <w:r w:rsidR="004A0EBA">
          <w:rPr>
            <w:rFonts w:asciiTheme="minorHAnsi" w:eastAsiaTheme="minorEastAsia" w:hAnsiTheme="minorHAnsi" w:cstheme="minorBidi"/>
            <w:noProof/>
            <w:lang w:eastAsia="de-CH"/>
          </w:rPr>
          <w:tab/>
        </w:r>
        <w:r w:rsidR="004A0EBA" w:rsidRPr="00433CBE">
          <w:rPr>
            <w:rStyle w:val="Hyperlink"/>
            <w:noProof/>
            <w:lang w:val="fr-CH"/>
          </w:rPr>
          <w:t>Bases Rentabilité et énergie (coûts)</w:t>
        </w:r>
        <w:r w:rsidR="004A0EBA">
          <w:rPr>
            <w:noProof/>
            <w:webHidden/>
          </w:rPr>
          <w:tab/>
        </w:r>
        <w:r w:rsidR="004A0EBA">
          <w:rPr>
            <w:noProof/>
            <w:webHidden/>
          </w:rPr>
          <w:fldChar w:fldCharType="begin"/>
        </w:r>
        <w:r w:rsidR="004A0EBA">
          <w:rPr>
            <w:noProof/>
            <w:webHidden/>
          </w:rPr>
          <w:instrText xml:space="preserve"> PAGEREF _Toc421696270 \h </w:instrText>
        </w:r>
        <w:r w:rsidR="004A0EBA">
          <w:rPr>
            <w:noProof/>
            <w:webHidden/>
          </w:rPr>
        </w:r>
        <w:r w:rsidR="004A0EBA">
          <w:rPr>
            <w:noProof/>
            <w:webHidden/>
          </w:rPr>
          <w:fldChar w:fldCharType="separate"/>
        </w:r>
        <w:r w:rsidR="004A0EBA">
          <w:rPr>
            <w:noProof/>
            <w:webHidden/>
          </w:rPr>
          <w:t>18</w:t>
        </w:r>
        <w:r w:rsidR="004A0EBA">
          <w:rPr>
            <w:noProof/>
            <w:webHidden/>
          </w:rPr>
          <w:fldChar w:fldCharType="end"/>
        </w:r>
      </w:hyperlink>
    </w:p>
    <w:p w14:paraId="56DFA9E9" w14:textId="77777777" w:rsidR="004A0EBA" w:rsidRDefault="00584FFB">
      <w:pPr>
        <w:pStyle w:val="Verzeichnis1"/>
        <w:rPr>
          <w:rFonts w:asciiTheme="minorHAnsi" w:eastAsiaTheme="minorEastAsia" w:hAnsiTheme="minorHAnsi" w:cstheme="minorBidi"/>
          <w:noProof/>
          <w:lang w:eastAsia="de-CH"/>
        </w:rPr>
      </w:pPr>
      <w:hyperlink w:anchor="_Toc421696271" w:history="1">
        <w:r w:rsidR="004A0EBA" w:rsidRPr="00433CBE">
          <w:rPr>
            <w:rStyle w:val="Hyperlink"/>
            <w:noProof/>
          </w:rPr>
          <w:t>4</w:t>
        </w:r>
        <w:r w:rsidR="004A0EBA">
          <w:rPr>
            <w:rFonts w:asciiTheme="minorHAnsi" w:eastAsiaTheme="minorEastAsia" w:hAnsiTheme="minorHAnsi" w:cstheme="minorBidi"/>
            <w:noProof/>
            <w:lang w:eastAsia="de-CH"/>
          </w:rPr>
          <w:tab/>
        </w:r>
        <w:r w:rsidR="004A0EBA" w:rsidRPr="00433CBE">
          <w:rPr>
            <w:rStyle w:val="Hyperlink"/>
            <w:noProof/>
          </w:rPr>
          <w:t>Historique</w:t>
        </w:r>
        <w:r w:rsidR="004A0EBA">
          <w:rPr>
            <w:noProof/>
            <w:webHidden/>
          </w:rPr>
          <w:tab/>
        </w:r>
        <w:r w:rsidR="004A0EBA">
          <w:rPr>
            <w:noProof/>
            <w:webHidden/>
          </w:rPr>
          <w:fldChar w:fldCharType="begin"/>
        </w:r>
        <w:r w:rsidR="004A0EBA">
          <w:rPr>
            <w:noProof/>
            <w:webHidden/>
          </w:rPr>
          <w:instrText xml:space="preserve"> PAGEREF _Toc421696271 \h </w:instrText>
        </w:r>
        <w:r w:rsidR="004A0EBA">
          <w:rPr>
            <w:noProof/>
            <w:webHidden/>
          </w:rPr>
        </w:r>
        <w:r w:rsidR="004A0EBA">
          <w:rPr>
            <w:noProof/>
            <w:webHidden/>
          </w:rPr>
          <w:fldChar w:fldCharType="separate"/>
        </w:r>
        <w:r w:rsidR="004A0EBA">
          <w:rPr>
            <w:noProof/>
            <w:webHidden/>
          </w:rPr>
          <w:t>20</w:t>
        </w:r>
        <w:r w:rsidR="004A0EBA">
          <w:rPr>
            <w:noProof/>
            <w:webHidden/>
          </w:rPr>
          <w:fldChar w:fldCharType="end"/>
        </w:r>
      </w:hyperlink>
    </w:p>
    <w:p w14:paraId="5D8639BE" w14:textId="77777777" w:rsidR="004A0EBA" w:rsidRDefault="00584FFB">
      <w:pPr>
        <w:pStyle w:val="Verzeichnis2"/>
        <w:rPr>
          <w:rFonts w:asciiTheme="minorHAnsi" w:eastAsiaTheme="minorEastAsia" w:hAnsiTheme="minorHAnsi" w:cstheme="minorBidi"/>
          <w:noProof/>
          <w:lang w:eastAsia="de-CH"/>
        </w:rPr>
      </w:pPr>
      <w:hyperlink w:anchor="_Toc421696272" w:history="1">
        <w:r w:rsidR="004A0EBA" w:rsidRPr="00433CBE">
          <w:rPr>
            <w:rStyle w:val="Hyperlink"/>
            <w:noProof/>
          </w:rPr>
          <w:t>4.1</w:t>
        </w:r>
        <w:r w:rsidR="004A0EBA">
          <w:rPr>
            <w:rFonts w:asciiTheme="minorHAnsi" w:eastAsiaTheme="minorEastAsia" w:hAnsiTheme="minorHAnsi" w:cstheme="minorBidi"/>
            <w:noProof/>
            <w:lang w:eastAsia="de-CH"/>
          </w:rPr>
          <w:tab/>
        </w:r>
        <w:r w:rsidR="004A0EBA" w:rsidRPr="00433CBE">
          <w:rPr>
            <w:rStyle w:val="Hyperlink"/>
            <w:noProof/>
          </w:rPr>
          <w:t>Consommation d’énergie finale et déchets utilisés à des fins énergétiques les deux dernières années</w:t>
        </w:r>
        <w:r w:rsidR="004A0EBA">
          <w:rPr>
            <w:noProof/>
            <w:webHidden/>
          </w:rPr>
          <w:tab/>
        </w:r>
        <w:r w:rsidR="004A0EBA">
          <w:rPr>
            <w:noProof/>
            <w:webHidden/>
          </w:rPr>
          <w:fldChar w:fldCharType="begin"/>
        </w:r>
        <w:r w:rsidR="004A0EBA">
          <w:rPr>
            <w:noProof/>
            <w:webHidden/>
          </w:rPr>
          <w:instrText xml:space="preserve"> PAGEREF _Toc421696272 \h </w:instrText>
        </w:r>
        <w:r w:rsidR="004A0EBA">
          <w:rPr>
            <w:noProof/>
            <w:webHidden/>
          </w:rPr>
        </w:r>
        <w:r w:rsidR="004A0EBA">
          <w:rPr>
            <w:noProof/>
            <w:webHidden/>
          </w:rPr>
          <w:fldChar w:fldCharType="separate"/>
        </w:r>
        <w:r w:rsidR="004A0EBA">
          <w:rPr>
            <w:noProof/>
            <w:webHidden/>
          </w:rPr>
          <w:t>20</w:t>
        </w:r>
        <w:r w:rsidR="004A0EBA">
          <w:rPr>
            <w:noProof/>
            <w:webHidden/>
          </w:rPr>
          <w:fldChar w:fldCharType="end"/>
        </w:r>
      </w:hyperlink>
    </w:p>
    <w:p w14:paraId="01620FA9" w14:textId="77777777" w:rsidR="004A0EBA" w:rsidRDefault="00584FFB">
      <w:pPr>
        <w:pStyle w:val="Verzeichnis2"/>
        <w:rPr>
          <w:rFonts w:asciiTheme="minorHAnsi" w:eastAsiaTheme="minorEastAsia" w:hAnsiTheme="minorHAnsi" w:cstheme="minorBidi"/>
          <w:noProof/>
          <w:lang w:eastAsia="de-CH"/>
        </w:rPr>
      </w:pPr>
      <w:hyperlink w:anchor="_Toc421696273" w:history="1">
        <w:r w:rsidR="004A0EBA" w:rsidRPr="00433CBE">
          <w:rPr>
            <w:rStyle w:val="Hyperlink"/>
            <w:noProof/>
          </w:rPr>
          <w:t>4.2</w:t>
        </w:r>
        <w:r w:rsidR="004A0EBA">
          <w:rPr>
            <w:rFonts w:asciiTheme="minorHAnsi" w:eastAsiaTheme="minorEastAsia" w:hAnsiTheme="minorHAnsi" w:cstheme="minorBidi"/>
            <w:noProof/>
            <w:lang w:eastAsia="de-CH"/>
          </w:rPr>
          <w:tab/>
        </w:r>
        <w:r w:rsidR="004A0EBA" w:rsidRPr="00433CBE">
          <w:rPr>
            <w:rStyle w:val="Hyperlink"/>
            <w:noProof/>
          </w:rPr>
          <w:t>Emissions de gaz à effet de serre les deux dernières années</w:t>
        </w:r>
        <w:r w:rsidR="004A0EBA">
          <w:rPr>
            <w:noProof/>
            <w:webHidden/>
          </w:rPr>
          <w:tab/>
        </w:r>
        <w:r w:rsidR="004A0EBA">
          <w:rPr>
            <w:noProof/>
            <w:webHidden/>
          </w:rPr>
          <w:fldChar w:fldCharType="begin"/>
        </w:r>
        <w:r w:rsidR="004A0EBA">
          <w:rPr>
            <w:noProof/>
            <w:webHidden/>
          </w:rPr>
          <w:instrText xml:space="preserve"> PAGEREF _Toc421696273 \h </w:instrText>
        </w:r>
        <w:r w:rsidR="004A0EBA">
          <w:rPr>
            <w:noProof/>
            <w:webHidden/>
          </w:rPr>
        </w:r>
        <w:r w:rsidR="004A0EBA">
          <w:rPr>
            <w:noProof/>
            <w:webHidden/>
          </w:rPr>
          <w:fldChar w:fldCharType="separate"/>
        </w:r>
        <w:r w:rsidR="004A0EBA">
          <w:rPr>
            <w:noProof/>
            <w:webHidden/>
          </w:rPr>
          <w:t>25</w:t>
        </w:r>
        <w:r w:rsidR="004A0EBA">
          <w:rPr>
            <w:noProof/>
            <w:webHidden/>
          </w:rPr>
          <w:fldChar w:fldCharType="end"/>
        </w:r>
      </w:hyperlink>
    </w:p>
    <w:p w14:paraId="29FF6D82" w14:textId="77777777" w:rsidR="004A0EBA" w:rsidRDefault="00584FFB">
      <w:pPr>
        <w:pStyle w:val="Verzeichnis2"/>
        <w:rPr>
          <w:rFonts w:asciiTheme="minorHAnsi" w:eastAsiaTheme="minorEastAsia" w:hAnsiTheme="minorHAnsi" w:cstheme="minorBidi"/>
          <w:noProof/>
          <w:lang w:eastAsia="de-CH"/>
        </w:rPr>
      </w:pPr>
      <w:hyperlink w:anchor="_Toc421696274" w:history="1">
        <w:r w:rsidR="004A0EBA" w:rsidRPr="00433CBE">
          <w:rPr>
            <w:rStyle w:val="Hyperlink"/>
            <w:noProof/>
          </w:rPr>
          <w:t>4.3</w:t>
        </w:r>
        <w:r w:rsidR="004A0EBA">
          <w:rPr>
            <w:rFonts w:asciiTheme="minorHAnsi" w:eastAsiaTheme="minorEastAsia" w:hAnsiTheme="minorHAnsi" w:cstheme="minorBidi"/>
            <w:noProof/>
            <w:lang w:eastAsia="de-CH"/>
          </w:rPr>
          <w:tab/>
        </w:r>
        <w:r w:rsidR="004A0EBA" w:rsidRPr="00433CBE">
          <w:rPr>
            <w:rStyle w:val="Hyperlink"/>
            <w:noProof/>
          </w:rPr>
          <w:t>Indicateurs de la consommation d’énergie les deux dernières années</w:t>
        </w:r>
        <w:r w:rsidR="004A0EBA">
          <w:rPr>
            <w:noProof/>
            <w:webHidden/>
          </w:rPr>
          <w:tab/>
        </w:r>
        <w:r w:rsidR="004A0EBA">
          <w:rPr>
            <w:noProof/>
            <w:webHidden/>
          </w:rPr>
          <w:fldChar w:fldCharType="begin"/>
        </w:r>
        <w:r w:rsidR="004A0EBA">
          <w:rPr>
            <w:noProof/>
            <w:webHidden/>
          </w:rPr>
          <w:instrText xml:space="preserve"> PAGEREF _Toc421696274 \h </w:instrText>
        </w:r>
        <w:r w:rsidR="004A0EBA">
          <w:rPr>
            <w:noProof/>
            <w:webHidden/>
          </w:rPr>
        </w:r>
        <w:r w:rsidR="004A0EBA">
          <w:rPr>
            <w:noProof/>
            <w:webHidden/>
          </w:rPr>
          <w:fldChar w:fldCharType="separate"/>
        </w:r>
        <w:r w:rsidR="004A0EBA">
          <w:rPr>
            <w:noProof/>
            <w:webHidden/>
          </w:rPr>
          <w:t>27</w:t>
        </w:r>
        <w:r w:rsidR="004A0EBA">
          <w:rPr>
            <w:noProof/>
            <w:webHidden/>
          </w:rPr>
          <w:fldChar w:fldCharType="end"/>
        </w:r>
      </w:hyperlink>
    </w:p>
    <w:p w14:paraId="4718E706" w14:textId="0C7F379A" w:rsidR="004A0EBA" w:rsidRDefault="00584FFB">
      <w:pPr>
        <w:pStyle w:val="Verzeichnis2"/>
        <w:rPr>
          <w:rFonts w:asciiTheme="minorHAnsi" w:eastAsiaTheme="minorEastAsia" w:hAnsiTheme="minorHAnsi" w:cstheme="minorBidi"/>
          <w:noProof/>
          <w:lang w:eastAsia="de-CH"/>
        </w:rPr>
      </w:pPr>
      <w:hyperlink w:anchor="_Toc421696275" w:history="1">
        <w:r w:rsidR="004A0EBA" w:rsidRPr="00433CBE">
          <w:rPr>
            <w:rStyle w:val="Hyperlink"/>
            <w:noProof/>
          </w:rPr>
          <w:t>4.4</w:t>
        </w:r>
        <w:r w:rsidR="004A0EBA">
          <w:rPr>
            <w:rFonts w:asciiTheme="minorHAnsi" w:eastAsiaTheme="minorEastAsia" w:hAnsiTheme="minorHAnsi" w:cstheme="minorBidi"/>
            <w:noProof/>
            <w:lang w:eastAsia="de-CH"/>
          </w:rPr>
          <w:tab/>
        </w:r>
        <w:r w:rsidR="004A0EBA" w:rsidRPr="00433CBE">
          <w:rPr>
            <w:rStyle w:val="Hyperlink"/>
            <w:noProof/>
          </w:rPr>
          <w:t xml:space="preserve">Mesures réalisées visant à économiser l’énergie et à réduire les </w:t>
        </w:r>
        <w:r w:rsidR="004A0EBA">
          <w:rPr>
            <w:rStyle w:val="Hyperlink"/>
            <w:noProof/>
          </w:rPr>
          <w:br/>
        </w:r>
        <w:r w:rsidR="004A0EBA" w:rsidRPr="00433CBE">
          <w:rPr>
            <w:rStyle w:val="Hyperlink"/>
            <w:noProof/>
          </w:rPr>
          <w:t>émissions de CO</w:t>
        </w:r>
        <w:r w:rsidR="004A0EBA" w:rsidRPr="00433CBE">
          <w:rPr>
            <w:rStyle w:val="Hyperlink"/>
            <w:noProof/>
            <w:vertAlign w:val="subscript"/>
          </w:rPr>
          <w:t>2</w:t>
        </w:r>
        <w:r w:rsidR="004A0EBA">
          <w:rPr>
            <w:noProof/>
            <w:webHidden/>
          </w:rPr>
          <w:tab/>
        </w:r>
        <w:r w:rsidR="004A0EBA">
          <w:rPr>
            <w:noProof/>
            <w:webHidden/>
          </w:rPr>
          <w:fldChar w:fldCharType="begin"/>
        </w:r>
        <w:r w:rsidR="004A0EBA">
          <w:rPr>
            <w:noProof/>
            <w:webHidden/>
          </w:rPr>
          <w:instrText xml:space="preserve"> PAGEREF _Toc421696275 \h </w:instrText>
        </w:r>
        <w:r w:rsidR="004A0EBA">
          <w:rPr>
            <w:noProof/>
            <w:webHidden/>
          </w:rPr>
        </w:r>
        <w:r w:rsidR="004A0EBA">
          <w:rPr>
            <w:noProof/>
            <w:webHidden/>
          </w:rPr>
          <w:fldChar w:fldCharType="separate"/>
        </w:r>
        <w:r w:rsidR="004A0EBA">
          <w:rPr>
            <w:noProof/>
            <w:webHidden/>
          </w:rPr>
          <w:t>30</w:t>
        </w:r>
        <w:r w:rsidR="004A0EBA">
          <w:rPr>
            <w:noProof/>
            <w:webHidden/>
          </w:rPr>
          <w:fldChar w:fldCharType="end"/>
        </w:r>
      </w:hyperlink>
    </w:p>
    <w:p w14:paraId="2163AB82" w14:textId="77777777" w:rsidR="004A0EBA" w:rsidRDefault="00584FFB">
      <w:pPr>
        <w:pStyle w:val="Verzeichnis2"/>
        <w:rPr>
          <w:rFonts w:asciiTheme="minorHAnsi" w:eastAsiaTheme="minorEastAsia" w:hAnsiTheme="minorHAnsi" w:cstheme="minorBidi"/>
          <w:noProof/>
          <w:lang w:eastAsia="de-CH"/>
        </w:rPr>
      </w:pPr>
      <w:hyperlink w:anchor="_Toc421696276" w:history="1">
        <w:r w:rsidR="004A0EBA" w:rsidRPr="00433CBE">
          <w:rPr>
            <w:rStyle w:val="Hyperlink"/>
            <w:noProof/>
          </w:rPr>
          <w:t>4.5</w:t>
        </w:r>
        <w:r w:rsidR="004A0EBA">
          <w:rPr>
            <w:rFonts w:asciiTheme="minorHAnsi" w:eastAsiaTheme="minorEastAsia" w:hAnsiTheme="minorHAnsi" w:cstheme="minorBidi"/>
            <w:noProof/>
            <w:lang w:eastAsia="de-CH"/>
          </w:rPr>
          <w:tab/>
        </w:r>
        <w:r w:rsidR="004A0EBA" w:rsidRPr="00433CBE">
          <w:rPr>
            <w:rStyle w:val="Hyperlink"/>
            <w:noProof/>
          </w:rPr>
          <w:t>Projets antérieurs / modifications de la production et des procédés / études énergétiques</w:t>
        </w:r>
        <w:r w:rsidR="004A0EBA">
          <w:rPr>
            <w:noProof/>
            <w:webHidden/>
          </w:rPr>
          <w:tab/>
        </w:r>
        <w:r w:rsidR="004A0EBA">
          <w:rPr>
            <w:noProof/>
            <w:webHidden/>
          </w:rPr>
          <w:fldChar w:fldCharType="begin"/>
        </w:r>
        <w:r w:rsidR="004A0EBA">
          <w:rPr>
            <w:noProof/>
            <w:webHidden/>
          </w:rPr>
          <w:instrText xml:space="preserve"> PAGEREF _Toc421696276 \h </w:instrText>
        </w:r>
        <w:r w:rsidR="004A0EBA">
          <w:rPr>
            <w:noProof/>
            <w:webHidden/>
          </w:rPr>
        </w:r>
        <w:r w:rsidR="004A0EBA">
          <w:rPr>
            <w:noProof/>
            <w:webHidden/>
          </w:rPr>
          <w:fldChar w:fldCharType="separate"/>
        </w:r>
        <w:r w:rsidR="004A0EBA">
          <w:rPr>
            <w:noProof/>
            <w:webHidden/>
          </w:rPr>
          <w:t>32</w:t>
        </w:r>
        <w:r w:rsidR="004A0EBA">
          <w:rPr>
            <w:noProof/>
            <w:webHidden/>
          </w:rPr>
          <w:fldChar w:fldCharType="end"/>
        </w:r>
      </w:hyperlink>
    </w:p>
    <w:p w14:paraId="07B75F9D" w14:textId="77777777" w:rsidR="004A0EBA" w:rsidRDefault="00584FFB">
      <w:pPr>
        <w:pStyle w:val="Verzeichnis1"/>
        <w:rPr>
          <w:rFonts w:asciiTheme="minorHAnsi" w:eastAsiaTheme="minorEastAsia" w:hAnsiTheme="minorHAnsi" w:cstheme="minorBidi"/>
          <w:noProof/>
          <w:lang w:eastAsia="de-CH"/>
        </w:rPr>
      </w:pPr>
      <w:hyperlink w:anchor="_Toc421696277" w:history="1">
        <w:r w:rsidR="004A0EBA" w:rsidRPr="00433CBE">
          <w:rPr>
            <w:rStyle w:val="Hyperlink"/>
            <w:noProof/>
          </w:rPr>
          <w:t>5</w:t>
        </w:r>
        <w:r w:rsidR="004A0EBA">
          <w:rPr>
            <w:rFonts w:asciiTheme="minorHAnsi" w:eastAsiaTheme="minorEastAsia" w:hAnsiTheme="minorHAnsi" w:cstheme="minorBidi"/>
            <w:noProof/>
            <w:lang w:eastAsia="de-CH"/>
          </w:rPr>
          <w:tab/>
        </w:r>
        <w:r w:rsidR="004A0EBA" w:rsidRPr="00433CBE">
          <w:rPr>
            <w:rStyle w:val="Hyperlink"/>
            <w:noProof/>
          </w:rPr>
          <w:t>Saisie de l’état actuel</w:t>
        </w:r>
        <w:r w:rsidR="004A0EBA">
          <w:rPr>
            <w:noProof/>
            <w:webHidden/>
          </w:rPr>
          <w:tab/>
        </w:r>
        <w:r w:rsidR="004A0EBA">
          <w:rPr>
            <w:noProof/>
            <w:webHidden/>
          </w:rPr>
          <w:fldChar w:fldCharType="begin"/>
        </w:r>
        <w:r w:rsidR="004A0EBA">
          <w:rPr>
            <w:noProof/>
            <w:webHidden/>
          </w:rPr>
          <w:instrText xml:space="preserve"> PAGEREF _Toc421696277 \h </w:instrText>
        </w:r>
        <w:r w:rsidR="004A0EBA">
          <w:rPr>
            <w:noProof/>
            <w:webHidden/>
          </w:rPr>
        </w:r>
        <w:r w:rsidR="004A0EBA">
          <w:rPr>
            <w:noProof/>
            <w:webHidden/>
          </w:rPr>
          <w:fldChar w:fldCharType="separate"/>
        </w:r>
        <w:r w:rsidR="004A0EBA">
          <w:rPr>
            <w:noProof/>
            <w:webHidden/>
          </w:rPr>
          <w:t>34</w:t>
        </w:r>
        <w:r w:rsidR="004A0EBA">
          <w:rPr>
            <w:noProof/>
            <w:webHidden/>
          </w:rPr>
          <w:fldChar w:fldCharType="end"/>
        </w:r>
      </w:hyperlink>
    </w:p>
    <w:p w14:paraId="20DBC528" w14:textId="77777777" w:rsidR="004A0EBA" w:rsidRDefault="00584FFB">
      <w:pPr>
        <w:pStyle w:val="Verzeichnis2"/>
        <w:rPr>
          <w:rFonts w:asciiTheme="minorHAnsi" w:eastAsiaTheme="minorEastAsia" w:hAnsiTheme="minorHAnsi" w:cstheme="minorBidi"/>
          <w:noProof/>
          <w:lang w:eastAsia="de-CH"/>
        </w:rPr>
      </w:pPr>
      <w:hyperlink w:anchor="_Toc421696278" w:history="1">
        <w:r w:rsidR="004A0EBA" w:rsidRPr="00433CBE">
          <w:rPr>
            <w:rStyle w:val="Hyperlink"/>
            <w:noProof/>
          </w:rPr>
          <w:t>5.1</w:t>
        </w:r>
        <w:r w:rsidR="004A0EBA">
          <w:rPr>
            <w:rFonts w:asciiTheme="minorHAnsi" w:eastAsiaTheme="minorEastAsia" w:hAnsiTheme="minorHAnsi" w:cstheme="minorBidi"/>
            <w:noProof/>
            <w:lang w:eastAsia="de-CH"/>
          </w:rPr>
          <w:tab/>
        </w:r>
        <w:r w:rsidR="004A0EBA" w:rsidRPr="00433CBE">
          <w:rPr>
            <w:rStyle w:val="Hyperlink"/>
            <w:noProof/>
          </w:rPr>
          <w:t>Schéma des flux des procédés, description des procédés</w:t>
        </w:r>
        <w:r w:rsidR="004A0EBA">
          <w:rPr>
            <w:noProof/>
            <w:webHidden/>
          </w:rPr>
          <w:tab/>
        </w:r>
        <w:r w:rsidR="004A0EBA">
          <w:rPr>
            <w:noProof/>
            <w:webHidden/>
          </w:rPr>
          <w:fldChar w:fldCharType="begin"/>
        </w:r>
        <w:r w:rsidR="004A0EBA">
          <w:rPr>
            <w:noProof/>
            <w:webHidden/>
          </w:rPr>
          <w:instrText xml:space="preserve"> PAGEREF _Toc421696278 \h </w:instrText>
        </w:r>
        <w:r w:rsidR="004A0EBA">
          <w:rPr>
            <w:noProof/>
            <w:webHidden/>
          </w:rPr>
        </w:r>
        <w:r w:rsidR="004A0EBA">
          <w:rPr>
            <w:noProof/>
            <w:webHidden/>
          </w:rPr>
          <w:fldChar w:fldCharType="separate"/>
        </w:r>
        <w:r w:rsidR="004A0EBA">
          <w:rPr>
            <w:noProof/>
            <w:webHidden/>
          </w:rPr>
          <w:t>34</w:t>
        </w:r>
        <w:r w:rsidR="004A0EBA">
          <w:rPr>
            <w:noProof/>
            <w:webHidden/>
          </w:rPr>
          <w:fldChar w:fldCharType="end"/>
        </w:r>
      </w:hyperlink>
    </w:p>
    <w:p w14:paraId="2A274F12" w14:textId="77777777" w:rsidR="004A0EBA" w:rsidRDefault="00584FFB">
      <w:pPr>
        <w:pStyle w:val="Verzeichnis2"/>
        <w:rPr>
          <w:rFonts w:asciiTheme="minorHAnsi" w:eastAsiaTheme="minorEastAsia" w:hAnsiTheme="minorHAnsi" w:cstheme="minorBidi"/>
          <w:noProof/>
          <w:lang w:eastAsia="de-CH"/>
        </w:rPr>
      </w:pPr>
      <w:hyperlink w:anchor="_Toc421696279" w:history="1">
        <w:r w:rsidR="004A0EBA" w:rsidRPr="00433CBE">
          <w:rPr>
            <w:rStyle w:val="Hyperlink"/>
            <w:noProof/>
          </w:rPr>
          <w:t>5.2</w:t>
        </w:r>
        <w:r w:rsidR="004A0EBA">
          <w:rPr>
            <w:rFonts w:asciiTheme="minorHAnsi" w:eastAsiaTheme="minorEastAsia" w:hAnsiTheme="minorHAnsi" w:cstheme="minorBidi"/>
            <w:noProof/>
            <w:lang w:eastAsia="de-CH"/>
          </w:rPr>
          <w:tab/>
        </w:r>
        <w:r w:rsidR="004A0EBA" w:rsidRPr="00433CBE">
          <w:rPr>
            <w:rStyle w:val="Hyperlink"/>
            <w:noProof/>
          </w:rPr>
          <w:t>Utilisation, transformation et distribution de l’énergie finale</w:t>
        </w:r>
        <w:r w:rsidR="004A0EBA">
          <w:rPr>
            <w:noProof/>
            <w:webHidden/>
          </w:rPr>
          <w:tab/>
        </w:r>
        <w:r w:rsidR="004A0EBA">
          <w:rPr>
            <w:noProof/>
            <w:webHidden/>
          </w:rPr>
          <w:fldChar w:fldCharType="begin"/>
        </w:r>
        <w:r w:rsidR="004A0EBA">
          <w:rPr>
            <w:noProof/>
            <w:webHidden/>
          </w:rPr>
          <w:instrText xml:space="preserve"> PAGEREF _Toc421696279 \h </w:instrText>
        </w:r>
        <w:r w:rsidR="004A0EBA">
          <w:rPr>
            <w:noProof/>
            <w:webHidden/>
          </w:rPr>
        </w:r>
        <w:r w:rsidR="004A0EBA">
          <w:rPr>
            <w:noProof/>
            <w:webHidden/>
          </w:rPr>
          <w:fldChar w:fldCharType="separate"/>
        </w:r>
        <w:r w:rsidR="004A0EBA">
          <w:rPr>
            <w:noProof/>
            <w:webHidden/>
          </w:rPr>
          <w:t>36</w:t>
        </w:r>
        <w:r w:rsidR="004A0EBA">
          <w:rPr>
            <w:noProof/>
            <w:webHidden/>
          </w:rPr>
          <w:fldChar w:fldCharType="end"/>
        </w:r>
      </w:hyperlink>
    </w:p>
    <w:p w14:paraId="41114094" w14:textId="77777777" w:rsidR="004A0EBA" w:rsidRDefault="00584FFB">
      <w:pPr>
        <w:pStyle w:val="Verzeichnis3"/>
        <w:rPr>
          <w:rFonts w:asciiTheme="minorHAnsi" w:eastAsiaTheme="minorEastAsia" w:hAnsiTheme="minorHAnsi" w:cstheme="minorBidi"/>
          <w:noProof/>
          <w:lang w:eastAsia="de-CH"/>
        </w:rPr>
      </w:pPr>
      <w:hyperlink w:anchor="_Toc421696280" w:history="1">
        <w:r w:rsidR="004A0EBA" w:rsidRPr="00433CBE">
          <w:rPr>
            <w:rStyle w:val="Hyperlink"/>
            <w:noProof/>
          </w:rPr>
          <w:t>5.2.1</w:t>
        </w:r>
        <w:r w:rsidR="004A0EBA">
          <w:rPr>
            <w:rFonts w:asciiTheme="minorHAnsi" w:eastAsiaTheme="minorEastAsia" w:hAnsiTheme="minorHAnsi" w:cstheme="minorBidi"/>
            <w:noProof/>
            <w:lang w:eastAsia="de-CH"/>
          </w:rPr>
          <w:tab/>
        </w:r>
        <w:r w:rsidR="004A0EBA" w:rsidRPr="00433CBE">
          <w:rPr>
            <w:rStyle w:val="Hyperlink"/>
            <w:noProof/>
          </w:rPr>
          <w:t>Energies finales thermiques, déchets internes</w:t>
        </w:r>
        <w:r w:rsidR="004A0EBA">
          <w:rPr>
            <w:noProof/>
            <w:webHidden/>
          </w:rPr>
          <w:tab/>
        </w:r>
        <w:r w:rsidR="004A0EBA">
          <w:rPr>
            <w:noProof/>
            <w:webHidden/>
          </w:rPr>
          <w:fldChar w:fldCharType="begin"/>
        </w:r>
        <w:r w:rsidR="004A0EBA">
          <w:rPr>
            <w:noProof/>
            <w:webHidden/>
          </w:rPr>
          <w:instrText xml:space="preserve"> PAGEREF _Toc421696280 \h </w:instrText>
        </w:r>
        <w:r w:rsidR="004A0EBA">
          <w:rPr>
            <w:noProof/>
            <w:webHidden/>
          </w:rPr>
        </w:r>
        <w:r w:rsidR="004A0EBA">
          <w:rPr>
            <w:noProof/>
            <w:webHidden/>
          </w:rPr>
          <w:fldChar w:fldCharType="separate"/>
        </w:r>
        <w:r w:rsidR="004A0EBA">
          <w:rPr>
            <w:noProof/>
            <w:webHidden/>
          </w:rPr>
          <w:t>36</w:t>
        </w:r>
        <w:r w:rsidR="004A0EBA">
          <w:rPr>
            <w:noProof/>
            <w:webHidden/>
          </w:rPr>
          <w:fldChar w:fldCharType="end"/>
        </w:r>
      </w:hyperlink>
    </w:p>
    <w:p w14:paraId="4DE73BD7" w14:textId="77777777" w:rsidR="004A0EBA" w:rsidRDefault="00584FFB">
      <w:pPr>
        <w:pStyle w:val="Verzeichnis3"/>
        <w:rPr>
          <w:rFonts w:asciiTheme="minorHAnsi" w:eastAsiaTheme="minorEastAsia" w:hAnsiTheme="minorHAnsi" w:cstheme="minorBidi"/>
          <w:noProof/>
          <w:lang w:eastAsia="de-CH"/>
        </w:rPr>
      </w:pPr>
      <w:hyperlink w:anchor="_Toc421696281" w:history="1">
        <w:r w:rsidR="004A0EBA" w:rsidRPr="00433CBE">
          <w:rPr>
            <w:rStyle w:val="Hyperlink"/>
            <w:noProof/>
            <w:lang w:val="fr-CH"/>
          </w:rPr>
          <w:t>5.2.2</w:t>
        </w:r>
        <w:r w:rsidR="004A0EBA">
          <w:rPr>
            <w:rFonts w:asciiTheme="minorHAnsi" w:eastAsiaTheme="minorEastAsia" w:hAnsiTheme="minorHAnsi" w:cstheme="minorBidi"/>
            <w:noProof/>
            <w:lang w:eastAsia="de-CH"/>
          </w:rPr>
          <w:tab/>
        </w:r>
        <w:r w:rsidR="004A0EBA" w:rsidRPr="00433CBE">
          <w:rPr>
            <w:rStyle w:val="Hyperlink"/>
            <w:noProof/>
            <w:lang w:val="fr-CH"/>
          </w:rPr>
          <w:t>Electricité (machines frigorifiques, pompes à chaleur)</w:t>
        </w:r>
        <w:r w:rsidR="004A0EBA">
          <w:rPr>
            <w:noProof/>
            <w:webHidden/>
          </w:rPr>
          <w:tab/>
        </w:r>
        <w:r w:rsidR="004A0EBA">
          <w:rPr>
            <w:noProof/>
            <w:webHidden/>
          </w:rPr>
          <w:fldChar w:fldCharType="begin"/>
        </w:r>
        <w:r w:rsidR="004A0EBA">
          <w:rPr>
            <w:noProof/>
            <w:webHidden/>
          </w:rPr>
          <w:instrText xml:space="preserve"> PAGEREF _Toc421696281 \h </w:instrText>
        </w:r>
        <w:r w:rsidR="004A0EBA">
          <w:rPr>
            <w:noProof/>
            <w:webHidden/>
          </w:rPr>
        </w:r>
        <w:r w:rsidR="004A0EBA">
          <w:rPr>
            <w:noProof/>
            <w:webHidden/>
          </w:rPr>
          <w:fldChar w:fldCharType="separate"/>
        </w:r>
        <w:r w:rsidR="004A0EBA">
          <w:rPr>
            <w:noProof/>
            <w:webHidden/>
          </w:rPr>
          <w:t>39</w:t>
        </w:r>
        <w:r w:rsidR="004A0EBA">
          <w:rPr>
            <w:noProof/>
            <w:webHidden/>
          </w:rPr>
          <w:fldChar w:fldCharType="end"/>
        </w:r>
      </w:hyperlink>
    </w:p>
    <w:p w14:paraId="3AEF8B49" w14:textId="77777777" w:rsidR="004A0EBA" w:rsidRDefault="00584FFB">
      <w:pPr>
        <w:pStyle w:val="Verzeichnis2"/>
        <w:rPr>
          <w:rFonts w:asciiTheme="minorHAnsi" w:eastAsiaTheme="minorEastAsia" w:hAnsiTheme="minorHAnsi" w:cstheme="minorBidi"/>
          <w:noProof/>
          <w:lang w:eastAsia="de-CH"/>
        </w:rPr>
      </w:pPr>
      <w:hyperlink w:anchor="_Toc421696282" w:history="1">
        <w:r w:rsidR="004A0EBA" w:rsidRPr="00433CBE">
          <w:rPr>
            <w:rStyle w:val="Hyperlink"/>
            <w:noProof/>
          </w:rPr>
          <w:t>5.3</w:t>
        </w:r>
        <w:r w:rsidR="004A0EBA">
          <w:rPr>
            <w:rFonts w:asciiTheme="minorHAnsi" w:eastAsiaTheme="minorEastAsia" w:hAnsiTheme="minorHAnsi" w:cstheme="minorBidi"/>
            <w:noProof/>
            <w:lang w:eastAsia="de-CH"/>
          </w:rPr>
          <w:tab/>
        </w:r>
        <w:r w:rsidR="004A0EBA" w:rsidRPr="00433CBE">
          <w:rPr>
            <w:rStyle w:val="Hyperlink"/>
            <w:noProof/>
          </w:rPr>
          <w:t>Consommateurs (énergie utile)</w:t>
        </w:r>
        <w:r w:rsidR="004A0EBA">
          <w:rPr>
            <w:noProof/>
            <w:webHidden/>
          </w:rPr>
          <w:tab/>
        </w:r>
        <w:r w:rsidR="004A0EBA">
          <w:rPr>
            <w:noProof/>
            <w:webHidden/>
          </w:rPr>
          <w:fldChar w:fldCharType="begin"/>
        </w:r>
        <w:r w:rsidR="004A0EBA">
          <w:rPr>
            <w:noProof/>
            <w:webHidden/>
          </w:rPr>
          <w:instrText xml:space="preserve"> PAGEREF _Toc421696282 \h </w:instrText>
        </w:r>
        <w:r w:rsidR="004A0EBA">
          <w:rPr>
            <w:noProof/>
            <w:webHidden/>
          </w:rPr>
        </w:r>
        <w:r w:rsidR="004A0EBA">
          <w:rPr>
            <w:noProof/>
            <w:webHidden/>
          </w:rPr>
          <w:fldChar w:fldCharType="separate"/>
        </w:r>
        <w:r w:rsidR="004A0EBA">
          <w:rPr>
            <w:noProof/>
            <w:webHidden/>
          </w:rPr>
          <w:t>41</w:t>
        </w:r>
        <w:r w:rsidR="004A0EBA">
          <w:rPr>
            <w:noProof/>
            <w:webHidden/>
          </w:rPr>
          <w:fldChar w:fldCharType="end"/>
        </w:r>
      </w:hyperlink>
    </w:p>
    <w:p w14:paraId="12BF43BE" w14:textId="77777777" w:rsidR="004A0EBA" w:rsidRDefault="00584FFB">
      <w:pPr>
        <w:pStyle w:val="Verzeichnis3"/>
        <w:rPr>
          <w:rFonts w:asciiTheme="minorHAnsi" w:eastAsiaTheme="minorEastAsia" w:hAnsiTheme="minorHAnsi" w:cstheme="minorBidi"/>
          <w:noProof/>
          <w:lang w:eastAsia="de-CH"/>
        </w:rPr>
      </w:pPr>
      <w:hyperlink w:anchor="_Toc421696283" w:history="1">
        <w:r w:rsidR="004A0EBA" w:rsidRPr="00433CBE">
          <w:rPr>
            <w:rStyle w:val="Hyperlink"/>
            <w:noProof/>
          </w:rPr>
          <w:t>5.3.1</w:t>
        </w:r>
        <w:r w:rsidR="004A0EBA">
          <w:rPr>
            <w:rFonts w:asciiTheme="minorHAnsi" w:eastAsiaTheme="minorEastAsia" w:hAnsiTheme="minorHAnsi" w:cstheme="minorBidi"/>
            <w:noProof/>
            <w:lang w:eastAsia="de-CH"/>
          </w:rPr>
          <w:tab/>
        </w:r>
        <w:r w:rsidR="004A0EBA" w:rsidRPr="00433CBE">
          <w:rPr>
            <w:rStyle w:val="Hyperlink"/>
            <w:noProof/>
          </w:rPr>
          <w:t>Chaleur (énergie thermique utile)</w:t>
        </w:r>
        <w:r w:rsidR="004A0EBA">
          <w:rPr>
            <w:noProof/>
            <w:webHidden/>
          </w:rPr>
          <w:tab/>
        </w:r>
        <w:r w:rsidR="004A0EBA">
          <w:rPr>
            <w:noProof/>
            <w:webHidden/>
          </w:rPr>
          <w:fldChar w:fldCharType="begin"/>
        </w:r>
        <w:r w:rsidR="004A0EBA">
          <w:rPr>
            <w:noProof/>
            <w:webHidden/>
          </w:rPr>
          <w:instrText xml:space="preserve"> PAGEREF _Toc421696283 \h </w:instrText>
        </w:r>
        <w:r w:rsidR="004A0EBA">
          <w:rPr>
            <w:noProof/>
            <w:webHidden/>
          </w:rPr>
        </w:r>
        <w:r w:rsidR="004A0EBA">
          <w:rPr>
            <w:noProof/>
            <w:webHidden/>
          </w:rPr>
          <w:fldChar w:fldCharType="separate"/>
        </w:r>
        <w:r w:rsidR="004A0EBA">
          <w:rPr>
            <w:noProof/>
            <w:webHidden/>
          </w:rPr>
          <w:t>41</w:t>
        </w:r>
        <w:r w:rsidR="004A0EBA">
          <w:rPr>
            <w:noProof/>
            <w:webHidden/>
          </w:rPr>
          <w:fldChar w:fldCharType="end"/>
        </w:r>
      </w:hyperlink>
    </w:p>
    <w:p w14:paraId="4E9689CB" w14:textId="77777777" w:rsidR="004A0EBA" w:rsidRDefault="00584FFB">
      <w:pPr>
        <w:pStyle w:val="Verzeichnis3"/>
        <w:rPr>
          <w:rFonts w:asciiTheme="minorHAnsi" w:eastAsiaTheme="minorEastAsia" w:hAnsiTheme="minorHAnsi" w:cstheme="minorBidi"/>
          <w:noProof/>
          <w:lang w:eastAsia="de-CH"/>
        </w:rPr>
      </w:pPr>
      <w:hyperlink w:anchor="_Toc421696284" w:history="1">
        <w:r w:rsidR="004A0EBA" w:rsidRPr="00433CBE">
          <w:rPr>
            <w:rStyle w:val="Hyperlink"/>
            <w:noProof/>
            <w:lang w:val="fr-CH"/>
          </w:rPr>
          <w:t>5.3.2</w:t>
        </w:r>
        <w:r w:rsidR="004A0EBA">
          <w:rPr>
            <w:rFonts w:asciiTheme="minorHAnsi" w:eastAsiaTheme="minorEastAsia" w:hAnsiTheme="minorHAnsi" w:cstheme="minorBidi"/>
            <w:noProof/>
            <w:lang w:eastAsia="de-CH"/>
          </w:rPr>
          <w:tab/>
        </w:r>
        <w:r w:rsidR="004A0EBA" w:rsidRPr="00433CBE">
          <w:rPr>
            <w:rStyle w:val="Hyperlink"/>
            <w:noProof/>
            <w:lang w:val="fr-CH"/>
          </w:rPr>
          <w:t>Electricité (compresseurs à air comprimé, autres consommateurs d’électricité)</w:t>
        </w:r>
        <w:r w:rsidR="004A0EBA">
          <w:rPr>
            <w:noProof/>
            <w:webHidden/>
          </w:rPr>
          <w:tab/>
        </w:r>
        <w:r w:rsidR="004A0EBA">
          <w:rPr>
            <w:noProof/>
            <w:webHidden/>
          </w:rPr>
          <w:fldChar w:fldCharType="begin"/>
        </w:r>
        <w:r w:rsidR="004A0EBA">
          <w:rPr>
            <w:noProof/>
            <w:webHidden/>
          </w:rPr>
          <w:instrText xml:space="preserve"> PAGEREF _Toc421696284 \h </w:instrText>
        </w:r>
        <w:r w:rsidR="004A0EBA">
          <w:rPr>
            <w:noProof/>
            <w:webHidden/>
          </w:rPr>
        </w:r>
        <w:r w:rsidR="004A0EBA">
          <w:rPr>
            <w:noProof/>
            <w:webHidden/>
          </w:rPr>
          <w:fldChar w:fldCharType="separate"/>
        </w:r>
        <w:r w:rsidR="004A0EBA">
          <w:rPr>
            <w:noProof/>
            <w:webHidden/>
          </w:rPr>
          <w:t>45</w:t>
        </w:r>
        <w:r w:rsidR="004A0EBA">
          <w:rPr>
            <w:noProof/>
            <w:webHidden/>
          </w:rPr>
          <w:fldChar w:fldCharType="end"/>
        </w:r>
      </w:hyperlink>
    </w:p>
    <w:p w14:paraId="00310C50" w14:textId="77777777" w:rsidR="004A0EBA" w:rsidRDefault="00584FFB">
      <w:pPr>
        <w:pStyle w:val="Verzeichnis2"/>
        <w:rPr>
          <w:rFonts w:asciiTheme="minorHAnsi" w:eastAsiaTheme="minorEastAsia" w:hAnsiTheme="minorHAnsi" w:cstheme="minorBidi"/>
          <w:noProof/>
          <w:lang w:eastAsia="de-CH"/>
        </w:rPr>
      </w:pPr>
      <w:hyperlink w:anchor="_Toc421696285" w:history="1">
        <w:r w:rsidR="004A0EBA" w:rsidRPr="00433CBE">
          <w:rPr>
            <w:rStyle w:val="Hyperlink"/>
            <w:noProof/>
          </w:rPr>
          <w:t>5.4</w:t>
        </w:r>
        <w:r w:rsidR="004A0EBA">
          <w:rPr>
            <w:rFonts w:asciiTheme="minorHAnsi" w:eastAsiaTheme="minorEastAsia" w:hAnsiTheme="minorHAnsi" w:cstheme="minorBidi"/>
            <w:noProof/>
            <w:lang w:eastAsia="de-CH"/>
          </w:rPr>
          <w:tab/>
        </w:r>
        <w:r w:rsidR="004A0EBA" w:rsidRPr="00433CBE">
          <w:rPr>
            <w:rStyle w:val="Hyperlink"/>
            <w:noProof/>
          </w:rPr>
          <w:t>Relevé du potentiel des rejets de chaleur</w:t>
        </w:r>
        <w:r w:rsidR="004A0EBA">
          <w:rPr>
            <w:noProof/>
            <w:webHidden/>
          </w:rPr>
          <w:tab/>
        </w:r>
        <w:r w:rsidR="004A0EBA">
          <w:rPr>
            <w:noProof/>
            <w:webHidden/>
          </w:rPr>
          <w:fldChar w:fldCharType="begin"/>
        </w:r>
        <w:r w:rsidR="004A0EBA">
          <w:rPr>
            <w:noProof/>
            <w:webHidden/>
          </w:rPr>
          <w:instrText xml:space="preserve"> PAGEREF _Toc421696285 \h </w:instrText>
        </w:r>
        <w:r w:rsidR="004A0EBA">
          <w:rPr>
            <w:noProof/>
            <w:webHidden/>
          </w:rPr>
        </w:r>
        <w:r w:rsidR="004A0EBA">
          <w:rPr>
            <w:noProof/>
            <w:webHidden/>
          </w:rPr>
          <w:fldChar w:fldCharType="separate"/>
        </w:r>
        <w:r w:rsidR="004A0EBA">
          <w:rPr>
            <w:noProof/>
            <w:webHidden/>
          </w:rPr>
          <w:t>47</w:t>
        </w:r>
        <w:r w:rsidR="004A0EBA">
          <w:rPr>
            <w:noProof/>
            <w:webHidden/>
          </w:rPr>
          <w:fldChar w:fldCharType="end"/>
        </w:r>
      </w:hyperlink>
    </w:p>
    <w:p w14:paraId="74B20B30" w14:textId="77777777" w:rsidR="004A0EBA" w:rsidRDefault="00584FFB">
      <w:pPr>
        <w:pStyle w:val="Verzeichnis2"/>
        <w:rPr>
          <w:rFonts w:asciiTheme="minorHAnsi" w:eastAsiaTheme="minorEastAsia" w:hAnsiTheme="minorHAnsi" w:cstheme="minorBidi"/>
          <w:noProof/>
          <w:lang w:eastAsia="de-CH"/>
        </w:rPr>
      </w:pPr>
      <w:hyperlink w:anchor="_Toc421696286" w:history="1">
        <w:r w:rsidR="004A0EBA" w:rsidRPr="00433CBE">
          <w:rPr>
            <w:rStyle w:val="Hyperlink"/>
            <w:noProof/>
          </w:rPr>
          <w:t>5.5</w:t>
        </w:r>
        <w:r w:rsidR="004A0EBA">
          <w:rPr>
            <w:rFonts w:asciiTheme="minorHAnsi" w:eastAsiaTheme="minorEastAsia" w:hAnsiTheme="minorHAnsi" w:cstheme="minorBidi"/>
            <w:noProof/>
            <w:lang w:eastAsia="de-CH"/>
          </w:rPr>
          <w:tab/>
        </w:r>
        <w:r w:rsidR="004A0EBA" w:rsidRPr="00433CBE">
          <w:rPr>
            <w:rStyle w:val="Hyperlink"/>
            <w:noProof/>
          </w:rPr>
          <w:t>Diagramme de Sankey des flux d’énergie</w:t>
        </w:r>
        <w:r w:rsidR="004A0EBA">
          <w:rPr>
            <w:noProof/>
            <w:webHidden/>
          </w:rPr>
          <w:tab/>
        </w:r>
        <w:r w:rsidR="004A0EBA">
          <w:rPr>
            <w:noProof/>
            <w:webHidden/>
          </w:rPr>
          <w:fldChar w:fldCharType="begin"/>
        </w:r>
        <w:r w:rsidR="004A0EBA">
          <w:rPr>
            <w:noProof/>
            <w:webHidden/>
          </w:rPr>
          <w:instrText xml:space="preserve"> PAGEREF _Toc421696286 \h </w:instrText>
        </w:r>
        <w:r w:rsidR="004A0EBA">
          <w:rPr>
            <w:noProof/>
            <w:webHidden/>
          </w:rPr>
        </w:r>
        <w:r w:rsidR="004A0EBA">
          <w:rPr>
            <w:noProof/>
            <w:webHidden/>
          </w:rPr>
          <w:fldChar w:fldCharType="separate"/>
        </w:r>
        <w:r w:rsidR="004A0EBA">
          <w:rPr>
            <w:noProof/>
            <w:webHidden/>
          </w:rPr>
          <w:t>50</w:t>
        </w:r>
        <w:r w:rsidR="004A0EBA">
          <w:rPr>
            <w:noProof/>
            <w:webHidden/>
          </w:rPr>
          <w:fldChar w:fldCharType="end"/>
        </w:r>
      </w:hyperlink>
    </w:p>
    <w:p w14:paraId="6D641E22" w14:textId="77777777" w:rsidR="004A0EBA" w:rsidRDefault="00584FFB">
      <w:pPr>
        <w:pStyle w:val="Verzeichnis1"/>
        <w:rPr>
          <w:rFonts w:asciiTheme="minorHAnsi" w:eastAsiaTheme="minorEastAsia" w:hAnsiTheme="minorHAnsi" w:cstheme="minorBidi"/>
          <w:noProof/>
          <w:lang w:eastAsia="de-CH"/>
        </w:rPr>
      </w:pPr>
      <w:hyperlink w:anchor="_Toc421696287" w:history="1">
        <w:r w:rsidR="004A0EBA" w:rsidRPr="00433CBE">
          <w:rPr>
            <w:rStyle w:val="Hyperlink"/>
            <w:noProof/>
          </w:rPr>
          <w:t>6</w:t>
        </w:r>
        <w:r w:rsidR="004A0EBA">
          <w:rPr>
            <w:rFonts w:asciiTheme="minorHAnsi" w:eastAsiaTheme="minorEastAsia" w:hAnsiTheme="minorHAnsi" w:cstheme="minorBidi"/>
            <w:noProof/>
            <w:lang w:eastAsia="de-CH"/>
          </w:rPr>
          <w:tab/>
        </w:r>
        <w:r w:rsidR="004A0EBA" w:rsidRPr="00433CBE">
          <w:rPr>
            <w:rStyle w:val="Hyperlink"/>
            <w:noProof/>
          </w:rPr>
          <w:t>Auto-évaluation et mesures</w:t>
        </w:r>
        <w:r w:rsidR="004A0EBA">
          <w:rPr>
            <w:noProof/>
            <w:webHidden/>
          </w:rPr>
          <w:tab/>
        </w:r>
        <w:r w:rsidR="004A0EBA">
          <w:rPr>
            <w:noProof/>
            <w:webHidden/>
          </w:rPr>
          <w:fldChar w:fldCharType="begin"/>
        </w:r>
        <w:r w:rsidR="004A0EBA">
          <w:rPr>
            <w:noProof/>
            <w:webHidden/>
          </w:rPr>
          <w:instrText xml:space="preserve"> PAGEREF _Toc421696287 \h </w:instrText>
        </w:r>
        <w:r w:rsidR="004A0EBA">
          <w:rPr>
            <w:noProof/>
            <w:webHidden/>
          </w:rPr>
        </w:r>
        <w:r w:rsidR="004A0EBA">
          <w:rPr>
            <w:noProof/>
            <w:webHidden/>
          </w:rPr>
          <w:fldChar w:fldCharType="separate"/>
        </w:r>
        <w:r w:rsidR="004A0EBA">
          <w:rPr>
            <w:noProof/>
            <w:webHidden/>
          </w:rPr>
          <w:t>52</w:t>
        </w:r>
        <w:r w:rsidR="004A0EBA">
          <w:rPr>
            <w:noProof/>
            <w:webHidden/>
          </w:rPr>
          <w:fldChar w:fldCharType="end"/>
        </w:r>
      </w:hyperlink>
    </w:p>
    <w:p w14:paraId="34E4E395" w14:textId="77777777" w:rsidR="004A0EBA" w:rsidRDefault="00584FFB">
      <w:pPr>
        <w:pStyle w:val="Verzeichnis2"/>
        <w:rPr>
          <w:rFonts w:asciiTheme="minorHAnsi" w:eastAsiaTheme="minorEastAsia" w:hAnsiTheme="minorHAnsi" w:cstheme="minorBidi"/>
          <w:noProof/>
          <w:lang w:eastAsia="de-CH"/>
        </w:rPr>
      </w:pPr>
      <w:hyperlink w:anchor="_Toc421696288" w:history="1">
        <w:r w:rsidR="004A0EBA" w:rsidRPr="00433CBE">
          <w:rPr>
            <w:rStyle w:val="Hyperlink"/>
            <w:noProof/>
          </w:rPr>
          <w:t>6.1</w:t>
        </w:r>
        <w:r w:rsidR="004A0EBA">
          <w:rPr>
            <w:rFonts w:asciiTheme="minorHAnsi" w:eastAsiaTheme="minorEastAsia" w:hAnsiTheme="minorHAnsi" w:cstheme="minorBidi"/>
            <w:noProof/>
            <w:lang w:eastAsia="de-CH"/>
          </w:rPr>
          <w:tab/>
        </w:r>
        <w:r w:rsidR="004A0EBA" w:rsidRPr="00433CBE">
          <w:rPr>
            <w:rStyle w:val="Hyperlink"/>
            <w:noProof/>
          </w:rPr>
          <w:t>Auto-évaluation, comparaison des procédés avec des benchmarks, «Meilleure technologie disponible»</w:t>
        </w:r>
        <w:r w:rsidR="004A0EBA">
          <w:rPr>
            <w:noProof/>
            <w:webHidden/>
          </w:rPr>
          <w:tab/>
        </w:r>
        <w:r w:rsidR="004A0EBA">
          <w:rPr>
            <w:noProof/>
            <w:webHidden/>
          </w:rPr>
          <w:fldChar w:fldCharType="begin"/>
        </w:r>
        <w:r w:rsidR="004A0EBA">
          <w:rPr>
            <w:noProof/>
            <w:webHidden/>
          </w:rPr>
          <w:instrText xml:space="preserve"> PAGEREF _Toc421696288 \h </w:instrText>
        </w:r>
        <w:r w:rsidR="004A0EBA">
          <w:rPr>
            <w:noProof/>
            <w:webHidden/>
          </w:rPr>
        </w:r>
        <w:r w:rsidR="004A0EBA">
          <w:rPr>
            <w:noProof/>
            <w:webHidden/>
          </w:rPr>
          <w:fldChar w:fldCharType="separate"/>
        </w:r>
        <w:r w:rsidR="004A0EBA">
          <w:rPr>
            <w:noProof/>
            <w:webHidden/>
          </w:rPr>
          <w:t>52</w:t>
        </w:r>
        <w:r w:rsidR="004A0EBA">
          <w:rPr>
            <w:noProof/>
            <w:webHidden/>
          </w:rPr>
          <w:fldChar w:fldCharType="end"/>
        </w:r>
      </w:hyperlink>
    </w:p>
    <w:p w14:paraId="4BFB8DE4" w14:textId="77777777" w:rsidR="004A0EBA" w:rsidRDefault="00584FFB">
      <w:pPr>
        <w:pStyle w:val="Verzeichnis2"/>
        <w:rPr>
          <w:rFonts w:asciiTheme="minorHAnsi" w:eastAsiaTheme="minorEastAsia" w:hAnsiTheme="minorHAnsi" w:cstheme="minorBidi"/>
          <w:noProof/>
          <w:lang w:eastAsia="de-CH"/>
        </w:rPr>
      </w:pPr>
      <w:hyperlink w:anchor="_Toc421696289" w:history="1">
        <w:r w:rsidR="004A0EBA" w:rsidRPr="00433CBE">
          <w:rPr>
            <w:rStyle w:val="Hyperlink"/>
            <w:noProof/>
          </w:rPr>
          <w:t>6.2</w:t>
        </w:r>
        <w:r w:rsidR="004A0EBA">
          <w:rPr>
            <w:rFonts w:asciiTheme="minorHAnsi" w:eastAsiaTheme="minorEastAsia" w:hAnsiTheme="minorHAnsi" w:cstheme="minorBidi"/>
            <w:noProof/>
            <w:lang w:eastAsia="de-CH"/>
          </w:rPr>
          <w:tab/>
        </w:r>
        <w:r w:rsidR="004A0EBA" w:rsidRPr="00433CBE">
          <w:rPr>
            <w:rStyle w:val="Hyperlink"/>
            <w:noProof/>
          </w:rPr>
          <w:t>Liste des mesures (liste longue)</w:t>
        </w:r>
        <w:r w:rsidR="004A0EBA">
          <w:rPr>
            <w:noProof/>
            <w:webHidden/>
          </w:rPr>
          <w:tab/>
        </w:r>
        <w:r w:rsidR="004A0EBA">
          <w:rPr>
            <w:noProof/>
            <w:webHidden/>
          </w:rPr>
          <w:fldChar w:fldCharType="begin"/>
        </w:r>
        <w:r w:rsidR="004A0EBA">
          <w:rPr>
            <w:noProof/>
            <w:webHidden/>
          </w:rPr>
          <w:instrText xml:space="preserve"> PAGEREF _Toc421696289 \h </w:instrText>
        </w:r>
        <w:r w:rsidR="004A0EBA">
          <w:rPr>
            <w:noProof/>
            <w:webHidden/>
          </w:rPr>
        </w:r>
        <w:r w:rsidR="004A0EBA">
          <w:rPr>
            <w:noProof/>
            <w:webHidden/>
          </w:rPr>
          <w:fldChar w:fldCharType="separate"/>
        </w:r>
        <w:r w:rsidR="004A0EBA">
          <w:rPr>
            <w:noProof/>
            <w:webHidden/>
          </w:rPr>
          <w:t>54</w:t>
        </w:r>
        <w:r w:rsidR="004A0EBA">
          <w:rPr>
            <w:noProof/>
            <w:webHidden/>
          </w:rPr>
          <w:fldChar w:fldCharType="end"/>
        </w:r>
      </w:hyperlink>
    </w:p>
    <w:p w14:paraId="5FA896C4" w14:textId="0784C546" w:rsidR="004454FC" w:rsidRDefault="003714FF" w:rsidP="004454FC">
      <w:pPr>
        <w:rPr>
          <w:b/>
          <w:sz w:val="24"/>
        </w:rPr>
      </w:pPr>
      <w:r w:rsidRPr="00B4595A">
        <w:lastRenderedPageBreak/>
        <w:fldChar w:fldCharType="end"/>
      </w:r>
      <w:r w:rsidR="004454FC" w:rsidRPr="00B70AE8">
        <w:rPr>
          <w:b/>
          <w:sz w:val="24"/>
        </w:rPr>
        <w:t>Table des illustrations</w:t>
      </w:r>
    </w:p>
    <w:p w14:paraId="75D41CB4" w14:textId="77777777" w:rsidR="004A0EBA" w:rsidRDefault="003714FF">
      <w:pPr>
        <w:pStyle w:val="Abbildungsverzeichnis"/>
        <w:rPr>
          <w:rFonts w:asciiTheme="minorHAnsi" w:eastAsiaTheme="minorEastAsia" w:hAnsiTheme="minorHAnsi" w:cstheme="minorBidi"/>
          <w:noProof/>
          <w:lang w:eastAsia="de-CH"/>
        </w:rPr>
      </w:pPr>
      <w:r w:rsidRPr="00B4595A">
        <w:fldChar w:fldCharType="begin"/>
      </w:r>
      <w:r w:rsidR="0006214D" w:rsidRPr="00B4595A">
        <w:instrText xml:space="preserve"> TOC \h \z \c "Abbildung" </w:instrText>
      </w:r>
      <w:r w:rsidRPr="00B4595A">
        <w:fldChar w:fldCharType="separate"/>
      </w:r>
      <w:hyperlink w:anchor="_Toc421696291" w:history="1">
        <w:r w:rsidR="004A0EBA" w:rsidRPr="00014D4F">
          <w:rPr>
            <w:rStyle w:val="Hyperlink"/>
            <w:noProof/>
          </w:rPr>
          <w:t>Illustration 1 (aperçu de la consommation d’énergie finale en 2010 et en 2011)</w:t>
        </w:r>
        <w:r w:rsidR="004A0EBA">
          <w:rPr>
            <w:noProof/>
            <w:webHidden/>
          </w:rPr>
          <w:tab/>
        </w:r>
        <w:r w:rsidR="004A0EBA">
          <w:rPr>
            <w:noProof/>
            <w:webHidden/>
          </w:rPr>
          <w:fldChar w:fldCharType="begin"/>
        </w:r>
        <w:r w:rsidR="004A0EBA">
          <w:rPr>
            <w:noProof/>
            <w:webHidden/>
          </w:rPr>
          <w:instrText xml:space="preserve"> PAGEREF _Toc421696291 \h </w:instrText>
        </w:r>
        <w:r w:rsidR="004A0EBA">
          <w:rPr>
            <w:noProof/>
            <w:webHidden/>
          </w:rPr>
        </w:r>
        <w:r w:rsidR="004A0EBA">
          <w:rPr>
            <w:noProof/>
            <w:webHidden/>
          </w:rPr>
          <w:fldChar w:fldCharType="separate"/>
        </w:r>
        <w:r w:rsidR="004A0EBA">
          <w:rPr>
            <w:noProof/>
            <w:webHidden/>
          </w:rPr>
          <w:t>22</w:t>
        </w:r>
        <w:r w:rsidR="004A0EBA">
          <w:rPr>
            <w:noProof/>
            <w:webHidden/>
          </w:rPr>
          <w:fldChar w:fldCharType="end"/>
        </w:r>
      </w:hyperlink>
    </w:p>
    <w:p w14:paraId="655E2D02" w14:textId="77777777" w:rsidR="004A0EBA" w:rsidRDefault="00584FFB">
      <w:pPr>
        <w:pStyle w:val="Abbildungsverzeichnis"/>
        <w:rPr>
          <w:rFonts w:asciiTheme="minorHAnsi" w:eastAsiaTheme="minorEastAsia" w:hAnsiTheme="minorHAnsi" w:cstheme="minorBidi"/>
          <w:noProof/>
          <w:lang w:eastAsia="de-CH"/>
        </w:rPr>
      </w:pPr>
      <w:hyperlink w:anchor="_Toc421696292" w:history="1">
        <w:r w:rsidR="004A0EBA" w:rsidRPr="00014D4F">
          <w:rPr>
            <w:rStyle w:val="Hyperlink"/>
            <w:noProof/>
          </w:rPr>
          <w:t>Illustration 2 (schéma des flux des procédés relatifs à la production 2011)</w:t>
        </w:r>
        <w:r w:rsidR="004A0EBA">
          <w:rPr>
            <w:noProof/>
            <w:webHidden/>
          </w:rPr>
          <w:tab/>
        </w:r>
        <w:r w:rsidR="004A0EBA">
          <w:rPr>
            <w:noProof/>
            <w:webHidden/>
          </w:rPr>
          <w:fldChar w:fldCharType="begin"/>
        </w:r>
        <w:r w:rsidR="004A0EBA">
          <w:rPr>
            <w:noProof/>
            <w:webHidden/>
          </w:rPr>
          <w:instrText xml:space="preserve"> PAGEREF _Toc421696292 \h </w:instrText>
        </w:r>
        <w:r w:rsidR="004A0EBA">
          <w:rPr>
            <w:noProof/>
            <w:webHidden/>
          </w:rPr>
        </w:r>
        <w:r w:rsidR="004A0EBA">
          <w:rPr>
            <w:noProof/>
            <w:webHidden/>
          </w:rPr>
          <w:fldChar w:fldCharType="separate"/>
        </w:r>
        <w:r w:rsidR="004A0EBA">
          <w:rPr>
            <w:noProof/>
            <w:webHidden/>
          </w:rPr>
          <w:t>34</w:t>
        </w:r>
        <w:r w:rsidR="004A0EBA">
          <w:rPr>
            <w:noProof/>
            <w:webHidden/>
          </w:rPr>
          <w:fldChar w:fldCharType="end"/>
        </w:r>
      </w:hyperlink>
    </w:p>
    <w:p w14:paraId="68F19D3C" w14:textId="77777777" w:rsidR="004A0EBA" w:rsidRDefault="00584FFB">
      <w:pPr>
        <w:pStyle w:val="Abbildungsverzeichnis"/>
        <w:rPr>
          <w:rFonts w:asciiTheme="minorHAnsi" w:eastAsiaTheme="minorEastAsia" w:hAnsiTheme="minorHAnsi" w:cstheme="minorBidi"/>
          <w:noProof/>
          <w:lang w:eastAsia="de-CH"/>
        </w:rPr>
      </w:pPr>
      <w:hyperlink w:anchor="_Toc421696293" w:history="1">
        <w:r w:rsidR="004A0EBA" w:rsidRPr="00014D4F">
          <w:rPr>
            <w:rStyle w:val="Hyperlink"/>
            <w:noProof/>
          </w:rPr>
          <w:t>Illustration 3 (machines frigorifiques – consommation d’électricité et rejets de chaleur)</w:t>
        </w:r>
        <w:r w:rsidR="004A0EBA">
          <w:rPr>
            <w:noProof/>
            <w:webHidden/>
          </w:rPr>
          <w:tab/>
        </w:r>
        <w:r w:rsidR="004A0EBA">
          <w:rPr>
            <w:noProof/>
            <w:webHidden/>
          </w:rPr>
          <w:fldChar w:fldCharType="begin"/>
        </w:r>
        <w:r w:rsidR="004A0EBA">
          <w:rPr>
            <w:noProof/>
            <w:webHidden/>
          </w:rPr>
          <w:instrText xml:space="preserve"> PAGEREF _Toc421696293 \h </w:instrText>
        </w:r>
        <w:r w:rsidR="004A0EBA">
          <w:rPr>
            <w:noProof/>
            <w:webHidden/>
          </w:rPr>
        </w:r>
        <w:r w:rsidR="004A0EBA">
          <w:rPr>
            <w:noProof/>
            <w:webHidden/>
          </w:rPr>
          <w:fldChar w:fldCharType="separate"/>
        </w:r>
        <w:r w:rsidR="004A0EBA">
          <w:rPr>
            <w:noProof/>
            <w:webHidden/>
          </w:rPr>
          <w:t>39</w:t>
        </w:r>
        <w:r w:rsidR="004A0EBA">
          <w:rPr>
            <w:noProof/>
            <w:webHidden/>
          </w:rPr>
          <w:fldChar w:fldCharType="end"/>
        </w:r>
      </w:hyperlink>
    </w:p>
    <w:p w14:paraId="1829FC23" w14:textId="77777777" w:rsidR="004A0EBA" w:rsidRDefault="00584FFB">
      <w:pPr>
        <w:pStyle w:val="Abbildungsverzeichnis"/>
        <w:rPr>
          <w:rFonts w:asciiTheme="minorHAnsi" w:eastAsiaTheme="minorEastAsia" w:hAnsiTheme="minorHAnsi" w:cstheme="minorBidi"/>
          <w:noProof/>
          <w:lang w:eastAsia="de-CH"/>
        </w:rPr>
      </w:pPr>
      <w:hyperlink w:anchor="_Toc421696294" w:history="1">
        <w:r w:rsidR="004A0EBA" w:rsidRPr="00014D4F">
          <w:rPr>
            <w:rStyle w:val="Hyperlink"/>
            <w:noProof/>
          </w:rPr>
          <w:t>Illustration 4 (consommation d’énergie thermique finale pour le chauffage des bâtiments/la production)</w:t>
        </w:r>
        <w:r w:rsidR="004A0EBA">
          <w:rPr>
            <w:noProof/>
            <w:webHidden/>
          </w:rPr>
          <w:tab/>
        </w:r>
        <w:r w:rsidR="004A0EBA">
          <w:rPr>
            <w:noProof/>
            <w:webHidden/>
          </w:rPr>
          <w:fldChar w:fldCharType="begin"/>
        </w:r>
        <w:r w:rsidR="004A0EBA">
          <w:rPr>
            <w:noProof/>
            <w:webHidden/>
          </w:rPr>
          <w:instrText xml:space="preserve"> PAGEREF _Toc421696294 \h </w:instrText>
        </w:r>
        <w:r w:rsidR="004A0EBA">
          <w:rPr>
            <w:noProof/>
            <w:webHidden/>
          </w:rPr>
        </w:r>
        <w:r w:rsidR="004A0EBA">
          <w:rPr>
            <w:noProof/>
            <w:webHidden/>
          </w:rPr>
          <w:fldChar w:fldCharType="separate"/>
        </w:r>
        <w:r w:rsidR="004A0EBA">
          <w:rPr>
            <w:noProof/>
            <w:webHidden/>
          </w:rPr>
          <w:t>41</w:t>
        </w:r>
        <w:r w:rsidR="004A0EBA">
          <w:rPr>
            <w:noProof/>
            <w:webHidden/>
          </w:rPr>
          <w:fldChar w:fldCharType="end"/>
        </w:r>
      </w:hyperlink>
    </w:p>
    <w:p w14:paraId="1DBA8F6D" w14:textId="77777777" w:rsidR="004A0EBA" w:rsidRDefault="00584FFB">
      <w:pPr>
        <w:pStyle w:val="Abbildungsverzeichnis"/>
        <w:rPr>
          <w:rFonts w:asciiTheme="minorHAnsi" w:eastAsiaTheme="minorEastAsia" w:hAnsiTheme="minorHAnsi" w:cstheme="minorBidi"/>
          <w:noProof/>
          <w:lang w:eastAsia="de-CH"/>
        </w:rPr>
      </w:pPr>
      <w:hyperlink w:anchor="_Toc421696295" w:history="1">
        <w:r w:rsidR="004A0EBA" w:rsidRPr="00014D4F">
          <w:rPr>
            <w:rStyle w:val="Hyperlink"/>
            <w:noProof/>
          </w:rPr>
          <w:t>Illustration 5 (compresseurs à air comprimé – consommation d’électricité et rejets de chaleur)</w:t>
        </w:r>
        <w:r w:rsidR="004A0EBA">
          <w:rPr>
            <w:noProof/>
            <w:webHidden/>
          </w:rPr>
          <w:tab/>
        </w:r>
        <w:r w:rsidR="004A0EBA">
          <w:rPr>
            <w:noProof/>
            <w:webHidden/>
          </w:rPr>
          <w:fldChar w:fldCharType="begin"/>
        </w:r>
        <w:r w:rsidR="004A0EBA">
          <w:rPr>
            <w:noProof/>
            <w:webHidden/>
          </w:rPr>
          <w:instrText xml:space="preserve"> PAGEREF _Toc421696295 \h </w:instrText>
        </w:r>
        <w:r w:rsidR="004A0EBA">
          <w:rPr>
            <w:noProof/>
            <w:webHidden/>
          </w:rPr>
        </w:r>
        <w:r w:rsidR="004A0EBA">
          <w:rPr>
            <w:noProof/>
            <w:webHidden/>
          </w:rPr>
          <w:fldChar w:fldCharType="separate"/>
        </w:r>
        <w:r w:rsidR="004A0EBA">
          <w:rPr>
            <w:noProof/>
            <w:webHidden/>
          </w:rPr>
          <w:t>45</w:t>
        </w:r>
        <w:r w:rsidR="004A0EBA">
          <w:rPr>
            <w:noProof/>
            <w:webHidden/>
          </w:rPr>
          <w:fldChar w:fldCharType="end"/>
        </w:r>
      </w:hyperlink>
    </w:p>
    <w:p w14:paraId="191D11BB" w14:textId="77777777" w:rsidR="004A0EBA" w:rsidRDefault="00584FFB">
      <w:pPr>
        <w:pStyle w:val="Abbildungsverzeichnis"/>
        <w:rPr>
          <w:rFonts w:asciiTheme="minorHAnsi" w:eastAsiaTheme="minorEastAsia" w:hAnsiTheme="minorHAnsi" w:cstheme="minorBidi"/>
          <w:noProof/>
          <w:lang w:eastAsia="de-CH"/>
        </w:rPr>
      </w:pPr>
      <w:hyperlink w:anchor="_Toc421696296" w:history="1">
        <w:r w:rsidR="004A0EBA" w:rsidRPr="00014D4F">
          <w:rPr>
            <w:rStyle w:val="Hyperlink"/>
            <w:noProof/>
          </w:rPr>
          <w:t>Illustration 6 (diagramme de Sankey pour 2011)</w:t>
        </w:r>
        <w:r w:rsidR="004A0EBA">
          <w:rPr>
            <w:noProof/>
            <w:webHidden/>
          </w:rPr>
          <w:tab/>
        </w:r>
        <w:r w:rsidR="004A0EBA">
          <w:rPr>
            <w:noProof/>
            <w:webHidden/>
          </w:rPr>
          <w:fldChar w:fldCharType="begin"/>
        </w:r>
        <w:r w:rsidR="004A0EBA">
          <w:rPr>
            <w:noProof/>
            <w:webHidden/>
          </w:rPr>
          <w:instrText xml:space="preserve"> PAGEREF _Toc421696296 \h </w:instrText>
        </w:r>
        <w:r w:rsidR="004A0EBA">
          <w:rPr>
            <w:noProof/>
            <w:webHidden/>
          </w:rPr>
        </w:r>
        <w:r w:rsidR="004A0EBA">
          <w:rPr>
            <w:noProof/>
            <w:webHidden/>
          </w:rPr>
          <w:fldChar w:fldCharType="separate"/>
        </w:r>
        <w:r w:rsidR="004A0EBA">
          <w:rPr>
            <w:noProof/>
            <w:webHidden/>
          </w:rPr>
          <w:t>50</w:t>
        </w:r>
        <w:r w:rsidR="004A0EBA">
          <w:rPr>
            <w:noProof/>
            <w:webHidden/>
          </w:rPr>
          <w:fldChar w:fldCharType="end"/>
        </w:r>
      </w:hyperlink>
    </w:p>
    <w:p w14:paraId="18BF66D7" w14:textId="77777777" w:rsidR="0006214D" w:rsidRPr="00B4595A" w:rsidRDefault="003714FF" w:rsidP="00360A9F">
      <w:pPr>
        <w:pStyle w:val="FormatvorlageAbbildungsverzeichnisLinks12cmRechts-12cm2"/>
      </w:pPr>
      <w:r w:rsidRPr="00B4595A">
        <w:fldChar w:fldCharType="end"/>
      </w:r>
    </w:p>
    <w:p w14:paraId="01D91516" w14:textId="77777777" w:rsidR="0006214D" w:rsidRPr="004454FC" w:rsidRDefault="004454FC" w:rsidP="004454FC">
      <w:pPr>
        <w:rPr>
          <w:b/>
          <w:sz w:val="24"/>
        </w:rPr>
      </w:pPr>
      <w:r w:rsidRPr="00B70AE8">
        <w:rPr>
          <w:b/>
          <w:sz w:val="24"/>
        </w:rPr>
        <w:t>Table des tableaux</w:t>
      </w:r>
    </w:p>
    <w:p w14:paraId="4CBF95BB" w14:textId="77777777" w:rsidR="004A0EBA" w:rsidRDefault="003714FF">
      <w:pPr>
        <w:pStyle w:val="Abbildungsverzeichnis"/>
        <w:rPr>
          <w:rFonts w:asciiTheme="minorHAnsi" w:eastAsiaTheme="minorEastAsia" w:hAnsiTheme="minorHAnsi" w:cstheme="minorBidi"/>
          <w:noProof/>
          <w:lang w:eastAsia="de-CH"/>
        </w:rPr>
      </w:pPr>
      <w:r w:rsidRPr="00B4595A">
        <w:fldChar w:fldCharType="begin"/>
      </w:r>
      <w:r w:rsidR="0006214D" w:rsidRPr="00B4595A">
        <w:instrText xml:space="preserve"> TOC \h \z \c "Tabelle" </w:instrText>
      </w:r>
      <w:r w:rsidRPr="00B4595A">
        <w:fldChar w:fldCharType="separate"/>
      </w:r>
      <w:hyperlink w:anchor="_Toc421696297" w:history="1">
        <w:r w:rsidR="004A0EBA" w:rsidRPr="007B19DC">
          <w:rPr>
            <w:rStyle w:val="Hyperlink"/>
            <w:noProof/>
          </w:rPr>
          <w:t>Tableau 1 (entreprise, site de production, responsable du dossier)</w:t>
        </w:r>
        <w:r w:rsidR="004A0EBA">
          <w:rPr>
            <w:noProof/>
            <w:webHidden/>
          </w:rPr>
          <w:tab/>
        </w:r>
        <w:r w:rsidR="004A0EBA">
          <w:rPr>
            <w:noProof/>
            <w:webHidden/>
          </w:rPr>
          <w:fldChar w:fldCharType="begin"/>
        </w:r>
        <w:r w:rsidR="004A0EBA">
          <w:rPr>
            <w:noProof/>
            <w:webHidden/>
          </w:rPr>
          <w:instrText xml:space="preserve"> PAGEREF _Toc421696297 \h </w:instrText>
        </w:r>
        <w:r w:rsidR="004A0EBA">
          <w:rPr>
            <w:noProof/>
            <w:webHidden/>
          </w:rPr>
        </w:r>
        <w:r w:rsidR="004A0EBA">
          <w:rPr>
            <w:noProof/>
            <w:webHidden/>
          </w:rPr>
          <w:fldChar w:fldCharType="separate"/>
        </w:r>
        <w:r w:rsidR="004A0EBA">
          <w:rPr>
            <w:noProof/>
            <w:webHidden/>
          </w:rPr>
          <w:t>15</w:t>
        </w:r>
        <w:r w:rsidR="004A0EBA">
          <w:rPr>
            <w:noProof/>
            <w:webHidden/>
          </w:rPr>
          <w:fldChar w:fldCharType="end"/>
        </w:r>
      </w:hyperlink>
    </w:p>
    <w:p w14:paraId="6CDFF275" w14:textId="77777777" w:rsidR="004A0EBA" w:rsidRDefault="00584FFB">
      <w:pPr>
        <w:pStyle w:val="Abbildungsverzeichnis"/>
        <w:rPr>
          <w:rFonts w:asciiTheme="minorHAnsi" w:eastAsiaTheme="minorEastAsia" w:hAnsiTheme="minorHAnsi" w:cstheme="minorBidi"/>
          <w:noProof/>
          <w:lang w:eastAsia="de-CH"/>
        </w:rPr>
      </w:pPr>
      <w:hyperlink w:anchor="_Toc421696298" w:history="1">
        <w:r w:rsidR="004A0EBA" w:rsidRPr="007B19DC">
          <w:rPr>
            <w:rStyle w:val="Hyperlink"/>
            <w:noProof/>
          </w:rPr>
          <w:t>Tableau 2 (modifications des procédés/capacités, projets de transformation)</w:t>
        </w:r>
        <w:r w:rsidR="004A0EBA">
          <w:rPr>
            <w:noProof/>
            <w:webHidden/>
          </w:rPr>
          <w:tab/>
        </w:r>
        <w:r w:rsidR="004A0EBA">
          <w:rPr>
            <w:noProof/>
            <w:webHidden/>
          </w:rPr>
          <w:fldChar w:fldCharType="begin"/>
        </w:r>
        <w:r w:rsidR="004A0EBA">
          <w:rPr>
            <w:noProof/>
            <w:webHidden/>
          </w:rPr>
          <w:instrText xml:space="preserve"> PAGEREF _Toc421696298 \h </w:instrText>
        </w:r>
        <w:r w:rsidR="004A0EBA">
          <w:rPr>
            <w:noProof/>
            <w:webHidden/>
          </w:rPr>
        </w:r>
        <w:r w:rsidR="004A0EBA">
          <w:rPr>
            <w:noProof/>
            <w:webHidden/>
          </w:rPr>
          <w:fldChar w:fldCharType="separate"/>
        </w:r>
        <w:r w:rsidR="004A0EBA">
          <w:rPr>
            <w:noProof/>
            <w:webHidden/>
          </w:rPr>
          <w:t>16</w:t>
        </w:r>
        <w:r w:rsidR="004A0EBA">
          <w:rPr>
            <w:noProof/>
            <w:webHidden/>
          </w:rPr>
          <w:fldChar w:fldCharType="end"/>
        </w:r>
      </w:hyperlink>
    </w:p>
    <w:p w14:paraId="6665764D" w14:textId="77777777" w:rsidR="004A0EBA" w:rsidRDefault="00584FFB">
      <w:pPr>
        <w:pStyle w:val="Abbildungsverzeichnis"/>
        <w:rPr>
          <w:rFonts w:asciiTheme="minorHAnsi" w:eastAsiaTheme="minorEastAsia" w:hAnsiTheme="minorHAnsi" w:cstheme="minorBidi"/>
          <w:noProof/>
          <w:lang w:eastAsia="de-CH"/>
        </w:rPr>
      </w:pPr>
      <w:hyperlink w:anchor="_Toc421696299" w:history="1">
        <w:r w:rsidR="004A0EBA" w:rsidRPr="007B19DC">
          <w:rPr>
            <w:rStyle w:val="Hyperlink"/>
            <w:noProof/>
          </w:rPr>
          <w:t>Tableau 3 (énergies et leur coût)</w:t>
        </w:r>
        <w:r w:rsidR="004A0EBA">
          <w:rPr>
            <w:noProof/>
            <w:webHidden/>
          </w:rPr>
          <w:tab/>
        </w:r>
        <w:r w:rsidR="004A0EBA">
          <w:rPr>
            <w:noProof/>
            <w:webHidden/>
          </w:rPr>
          <w:fldChar w:fldCharType="begin"/>
        </w:r>
        <w:r w:rsidR="004A0EBA">
          <w:rPr>
            <w:noProof/>
            <w:webHidden/>
          </w:rPr>
          <w:instrText xml:space="preserve"> PAGEREF _Toc421696299 \h </w:instrText>
        </w:r>
        <w:r w:rsidR="004A0EBA">
          <w:rPr>
            <w:noProof/>
            <w:webHidden/>
          </w:rPr>
        </w:r>
        <w:r w:rsidR="004A0EBA">
          <w:rPr>
            <w:noProof/>
            <w:webHidden/>
          </w:rPr>
          <w:fldChar w:fldCharType="separate"/>
        </w:r>
        <w:r w:rsidR="004A0EBA">
          <w:rPr>
            <w:noProof/>
            <w:webHidden/>
          </w:rPr>
          <w:t>18</w:t>
        </w:r>
        <w:r w:rsidR="004A0EBA">
          <w:rPr>
            <w:noProof/>
            <w:webHidden/>
          </w:rPr>
          <w:fldChar w:fldCharType="end"/>
        </w:r>
      </w:hyperlink>
    </w:p>
    <w:p w14:paraId="5D78554B" w14:textId="77777777" w:rsidR="004A0EBA" w:rsidRDefault="00584FFB">
      <w:pPr>
        <w:pStyle w:val="Abbildungsverzeichnis"/>
        <w:rPr>
          <w:rFonts w:asciiTheme="minorHAnsi" w:eastAsiaTheme="minorEastAsia" w:hAnsiTheme="minorHAnsi" w:cstheme="minorBidi"/>
          <w:noProof/>
          <w:lang w:eastAsia="de-CH"/>
        </w:rPr>
      </w:pPr>
      <w:hyperlink w:anchor="_Toc421696300" w:history="1">
        <w:r w:rsidR="004A0EBA" w:rsidRPr="007B19DC">
          <w:rPr>
            <w:rStyle w:val="Hyperlink"/>
            <w:noProof/>
          </w:rPr>
          <w:t>Tableau 4 (données de base économiques)</w:t>
        </w:r>
        <w:r w:rsidR="004A0EBA">
          <w:rPr>
            <w:noProof/>
            <w:webHidden/>
          </w:rPr>
          <w:tab/>
        </w:r>
        <w:r w:rsidR="004A0EBA">
          <w:rPr>
            <w:noProof/>
            <w:webHidden/>
          </w:rPr>
          <w:fldChar w:fldCharType="begin"/>
        </w:r>
        <w:r w:rsidR="004A0EBA">
          <w:rPr>
            <w:noProof/>
            <w:webHidden/>
          </w:rPr>
          <w:instrText xml:space="preserve"> PAGEREF _Toc421696300 \h </w:instrText>
        </w:r>
        <w:r w:rsidR="004A0EBA">
          <w:rPr>
            <w:noProof/>
            <w:webHidden/>
          </w:rPr>
        </w:r>
        <w:r w:rsidR="004A0EBA">
          <w:rPr>
            <w:noProof/>
            <w:webHidden/>
          </w:rPr>
          <w:fldChar w:fldCharType="separate"/>
        </w:r>
        <w:r w:rsidR="004A0EBA">
          <w:rPr>
            <w:noProof/>
            <w:webHidden/>
          </w:rPr>
          <w:t>18</w:t>
        </w:r>
        <w:r w:rsidR="004A0EBA">
          <w:rPr>
            <w:noProof/>
            <w:webHidden/>
          </w:rPr>
          <w:fldChar w:fldCharType="end"/>
        </w:r>
      </w:hyperlink>
    </w:p>
    <w:p w14:paraId="6C6CF89B" w14:textId="77777777" w:rsidR="004A0EBA" w:rsidRDefault="00584FFB">
      <w:pPr>
        <w:pStyle w:val="Abbildungsverzeichnis"/>
        <w:rPr>
          <w:rFonts w:asciiTheme="minorHAnsi" w:eastAsiaTheme="minorEastAsia" w:hAnsiTheme="minorHAnsi" w:cstheme="minorBidi"/>
          <w:noProof/>
          <w:lang w:eastAsia="de-CH"/>
        </w:rPr>
      </w:pPr>
      <w:hyperlink w:anchor="_Toc421696301" w:history="1">
        <w:r w:rsidR="004A0EBA" w:rsidRPr="007B19DC">
          <w:rPr>
            <w:rStyle w:val="Hyperlink"/>
            <w:noProof/>
          </w:rPr>
          <w:t>Tableau 5 (consommation d’énergie finale, déchets internes 2010)</w:t>
        </w:r>
        <w:r w:rsidR="004A0EBA">
          <w:rPr>
            <w:noProof/>
            <w:webHidden/>
          </w:rPr>
          <w:tab/>
        </w:r>
        <w:r w:rsidR="004A0EBA">
          <w:rPr>
            <w:noProof/>
            <w:webHidden/>
          </w:rPr>
          <w:fldChar w:fldCharType="begin"/>
        </w:r>
        <w:r w:rsidR="004A0EBA">
          <w:rPr>
            <w:noProof/>
            <w:webHidden/>
          </w:rPr>
          <w:instrText xml:space="preserve"> PAGEREF _Toc421696301 \h </w:instrText>
        </w:r>
        <w:r w:rsidR="004A0EBA">
          <w:rPr>
            <w:noProof/>
            <w:webHidden/>
          </w:rPr>
        </w:r>
        <w:r w:rsidR="004A0EBA">
          <w:rPr>
            <w:noProof/>
            <w:webHidden/>
          </w:rPr>
          <w:fldChar w:fldCharType="separate"/>
        </w:r>
        <w:r w:rsidR="004A0EBA">
          <w:rPr>
            <w:noProof/>
            <w:webHidden/>
          </w:rPr>
          <w:t>20</w:t>
        </w:r>
        <w:r w:rsidR="004A0EBA">
          <w:rPr>
            <w:noProof/>
            <w:webHidden/>
          </w:rPr>
          <w:fldChar w:fldCharType="end"/>
        </w:r>
      </w:hyperlink>
    </w:p>
    <w:p w14:paraId="2B8A54C3" w14:textId="77777777" w:rsidR="004A0EBA" w:rsidRDefault="00584FFB">
      <w:pPr>
        <w:pStyle w:val="Abbildungsverzeichnis"/>
        <w:rPr>
          <w:rFonts w:asciiTheme="minorHAnsi" w:eastAsiaTheme="minorEastAsia" w:hAnsiTheme="minorHAnsi" w:cstheme="minorBidi"/>
          <w:noProof/>
          <w:lang w:eastAsia="de-CH"/>
        </w:rPr>
      </w:pPr>
      <w:hyperlink w:anchor="_Toc421696302" w:history="1">
        <w:r w:rsidR="004A0EBA" w:rsidRPr="007B19DC">
          <w:rPr>
            <w:rStyle w:val="Hyperlink"/>
            <w:noProof/>
          </w:rPr>
          <w:t>Tableau 6 (consommation d’énergie finale, déchets internes 2011)</w:t>
        </w:r>
        <w:r w:rsidR="004A0EBA">
          <w:rPr>
            <w:noProof/>
            <w:webHidden/>
          </w:rPr>
          <w:tab/>
        </w:r>
        <w:r w:rsidR="004A0EBA">
          <w:rPr>
            <w:noProof/>
            <w:webHidden/>
          </w:rPr>
          <w:fldChar w:fldCharType="begin"/>
        </w:r>
        <w:r w:rsidR="004A0EBA">
          <w:rPr>
            <w:noProof/>
            <w:webHidden/>
          </w:rPr>
          <w:instrText xml:space="preserve"> PAGEREF _Toc421696302 \h </w:instrText>
        </w:r>
        <w:r w:rsidR="004A0EBA">
          <w:rPr>
            <w:noProof/>
            <w:webHidden/>
          </w:rPr>
        </w:r>
        <w:r w:rsidR="004A0EBA">
          <w:rPr>
            <w:noProof/>
            <w:webHidden/>
          </w:rPr>
          <w:fldChar w:fldCharType="separate"/>
        </w:r>
        <w:r w:rsidR="004A0EBA">
          <w:rPr>
            <w:noProof/>
            <w:webHidden/>
          </w:rPr>
          <w:t>21</w:t>
        </w:r>
        <w:r w:rsidR="004A0EBA">
          <w:rPr>
            <w:noProof/>
            <w:webHidden/>
          </w:rPr>
          <w:fldChar w:fldCharType="end"/>
        </w:r>
      </w:hyperlink>
    </w:p>
    <w:p w14:paraId="74E27974" w14:textId="77777777" w:rsidR="004A0EBA" w:rsidRDefault="00584FFB">
      <w:pPr>
        <w:pStyle w:val="Abbildungsverzeichnis"/>
        <w:rPr>
          <w:rFonts w:asciiTheme="minorHAnsi" w:eastAsiaTheme="minorEastAsia" w:hAnsiTheme="minorHAnsi" w:cstheme="minorBidi"/>
          <w:noProof/>
          <w:lang w:eastAsia="de-CH"/>
        </w:rPr>
      </w:pPr>
      <w:hyperlink w:anchor="_Toc421696303" w:history="1">
        <w:r w:rsidR="004A0EBA" w:rsidRPr="007B19DC">
          <w:rPr>
            <w:rStyle w:val="Hyperlink"/>
            <w:noProof/>
          </w:rPr>
          <w:t>Tableau 7 (propre production solaire, hydraulique, éolienne et fourniture d’énergie en 2010)</w:t>
        </w:r>
        <w:r w:rsidR="004A0EBA">
          <w:rPr>
            <w:noProof/>
            <w:webHidden/>
          </w:rPr>
          <w:tab/>
        </w:r>
        <w:r w:rsidR="004A0EBA">
          <w:rPr>
            <w:noProof/>
            <w:webHidden/>
          </w:rPr>
          <w:fldChar w:fldCharType="begin"/>
        </w:r>
        <w:r w:rsidR="004A0EBA">
          <w:rPr>
            <w:noProof/>
            <w:webHidden/>
          </w:rPr>
          <w:instrText xml:space="preserve"> PAGEREF _Toc421696303 \h </w:instrText>
        </w:r>
        <w:r w:rsidR="004A0EBA">
          <w:rPr>
            <w:noProof/>
            <w:webHidden/>
          </w:rPr>
        </w:r>
        <w:r w:rsidR="004A0EBA">
          <w:rPr>
            <w:noProof/>
            <w:webHidden/>
          </w:rPr>
          <w:fldChar w:fldCharType="separate"/>
        </w:r>
        <w:r w:rsidR="004A0EBA">
          <w:rPr>
            <w:noProof/>
            <w:webHidden/>
          </w:rPr>
          <w:t>21</w:t>
        </w:r>
        <w:r w:rsidR="004A0EBA">
          <w:rPr>
            <w:noProof/>
            <w:webHidden/>
          </w:rPr>
          <w:fldChar w:fldCharType="end"/>
        </w:r>
      </w:hyperlink>
    </w:p>
    <w:p w14:paraId="2F5A5552" w14:textId="77777777" w:rsidR="004A0EBA" w:rsidRDefault="00584FFB">
      <w:pPr>
        <w:pStyle w:val="Abbildungsverzeichnis"/>
        <w:rPr>
          <w:rFonts w:asciiTheme="minorHAnsi" w:eastAsiaTheme="minorEastAsia" w:hAnsiTheme="minorHAnsi" w:cstheme="minorBidi"/>
          <w:noProof/>
          <w:lang w:eastAsia="de-CH"/>
        </w:rPr>
      </w:pPr>
      <w:hyperlink w:anchor="_Toc421696304" w:history="1">
        <w:r w:rsidR="004A0EBA" w:rsidRPr="007B19DC">
          <w:rPr>
            <w:rStyle w:val="Hyperlink"/>
            <w:noProof/>
          </w:rPr>
          <w:t>Tableau 8 (propre production solaire, hydraulique, éolienne et fourniture d’énergie en 2011)</w:t>
        </w:r>
        <w:r w:rsidR="004A0EBA">
          <w:rPr>
            <w:noProof/>
            <w:webHidden/>
          </w:rPr>
          <w:tab/>
        </w:r>
        <w:r w:rsidR="004A0EBA">
          <w:rPr>
            <w:noProof/>
            <w:webHidden/>
          </w:rPr>
          <w:fldChar w:fldCharType="begin"/>
        </w:r>
        <w:r w:rsidR="004A0EBA">
          <w:rPr>
            <w:noProof/>
            <w:webHidden/>
          </w:rPr>
          <w:instrText xml:space="preserve"> PAGEREF _Toc421696304 \h </w:instrText>
        </w:r>
        <w:r w:rsidR="004A0EBA">
          <w:rPr>
            <w:noProof/>
            <w:webHidden/>
          </w:rPr>
        </w:r>
        <w:r w:rsidR="004A0EBA">
          <w:rPr>
            <w:noProof/>
            <w:webHidden/>
          </w:rPr>
          <w:fldChar w:fldCharType="separate"/>
        </w:r>
        <w:r w:rsidR="004A0EBA">
          <w:rPr>
            <w:noProof/>
            <w:webHidden/>
          </w:rPr>
          <w:t>22</w:t>
        </w:r>
        <w:r w:rsidR="004A0EBA">
          <w:rPr>
            <w:noProof/>
            <w:webHidden/>
          </w:rPr>
          <w:fldChar w:fldCharType="end"/>
        </w:r>
      </w:hyperlink>
    </w:p>
    <w:p w14:paraId="37880022" w14:textId="77777777" w:rsidR="004A0EBA" w:rsidRDefault="00584FFB">
      <w:pPr>
        <w:pStyle w:val="Abbildungsverzeichnis"/>
        <w:rPr>
          <w:rFonts w:asciiTheme="minorHAnsi" w:eastAsiaTheme="minorEastAsia" w:hAnsiTheme="minorHAnsi" w:cstheme="minorBidi"/>
          <w:noProof/>
          <w:lang w:eastAsia="de-CH"/>
        </w:rPr>
      </w:pPr>
      <w:hyperlink w:anchor="_Toc421696305" w:history="1">
        <w:r w:rsidR="004A0EBA" w:rsidRPr="007B19DC">
          <w:rPr>
            <w:rStyle w:val="Hyperlink"/>
            <w:noProof/>
          </w:rPr>
          <w:t>Tableau 9 (émissions de gaz à effet de serre en 2010 et en 2011)</w:t>
        </w:r>
        <w:r w:rsidR="004A0EBA">
          <w:rPr>
            <w:noProof/>
            <w:webHidden/>
          </w:rPr>
          <w:tab/>
        </w:r>
        <w:r w:rsidR="004A0EBA">
          <w:rPr>
            <w:noProof/>
            <w:webHidden/>
          </w:rPr>
          <w:fldChar w:fldCharType="begin"/>
        </w:r>
        <w:r w:rsidR="004A0EBA">
          <w:rPr>
            <w:noProof/>
            <w:webHidden/>
          </w:rPr>
          <w:instrText xml:space="preserve"> PAGEREF _Toc421696305 \h </w:instrText>
        </w:r>
        <w:r w:rsidR="004A0EBA">
          <w:rPr>
            <w:noProof/>
            <w:webHidden/>
          </w:rPr>
        </w:r>
        <w:r w:rsidR="004A0EBA">
          <w:rPr>
            <w:noProof/>
            <w:webHidden/>
          </w:rPr>
          <w:fldChar w:fldCharType="separate"/>
        </w:r>
        <w:r w:rsidR="004A0EBA">
          <w:rPr>
            <w:noProof/>
            <w:webHidden/>
          </w:rPr>
          <w:t>25</w:t>
        </w:r>
        <w:r w:rsidR="004A0EBA">
          <w:rPr>
            <w:noProof/>
            <w:webHidden/>
          </w:rPr>
          <w:fldChar w:fldCharType="end"/>
        </w:r>
      </w:hyperlink>
    </w:p>
    <w:p w14:paraId="7779EDEB" w14:textId="77777777" w:rsidR="004A0EBA" w:rsidRDefault="00584FFB">
      <w:pPr>
        <w:pStyle w:val="Abbildungsverzeichnis"/>
        <w:rPr>
          <w:rFonts w:asciiTheme="minorHAnsi" w:eastAsiaTheme="minorEastAsia" w:hAnsiTheme="minorHAnsi" w:cstheme="minorBidi"/>
          <w:noProof/>
          <w:lang w:eastAsia="de-CH"/>
        </w:rPr>
      </w:pPr>
      <w:hyperlink w:anchor="_Toc421696306" w:history="1">
        <w:r w:rsidR="004A0EBA" w:rsidRPr="007B19DC">
          <w:rPr>
            <w:rStyle w:val="Hyperlink"/>
            <w:noProof/>
          </w:rPr>
          <w:t>Tableau 10 (indicateurs de la consommation d’énergie en 2010)</w:t>
        </w:r>
        <w:r w:rsidR="004A0EBA">
          <w:rPr>
            <w:noProof/>
            <w:webHidden/>
          </w:rPr>
          <w:tab/>
        </w:r>
        <w:r w:rsidR="004A0EBA">
          <w:rPr>
            <w:noProof/>
            <w:webHidden/>
          </w:rPr>
          <w:fldChar w:fldCharType="begin"/>
        </w:r>
        <w:r w:rsidR="004A0EBA">
          <w:rPr>
            <w:noProof/>
            <w:webHidden/>
          </w:rPr>
          <w:instrText xml:space="preserve"> PAGEREF _Toc421696306 \h </w:instrText>
        </w:r>
        <w:r w:rsidR="004A0EBA">
          <w:rPr>
            <w:noProof/>
            <w:webHidden/>
          </w:rPr>
        </w:r>
        <w:r w:rsidR="004A0EBA">
          <w:rPr>
            <w:noProof/>
            <w:webHidden/>
          </w:rPr>
          <w:fldChar w:fldCharType="separate"/>
        </w:r>
        <w:r w:rsidR="004A0EBA">
          <w:rPr>
            <w:noProof/>
            <w:webHidden/>
          </w:rPr>
          <w:t>27</w:t>
        </w:r>
        <w:r w:rsidR="004A0EBA">
          <w:rPr>
            <w:noProof/>
            <w:webHidden/>
          </w:rPr>
          <w:fldChar w:fldCharType="end"/>
        </w:r>
      </w:hyperlink>
    </w:p>
    <w:p w14:paraId="1BA93AD9" w14:textId="77777777" w:rsidR="004A0EBA" w:rsidRDefault="00584FFB">
      <w:pPr>
        <w:pStyle w:val="Abbildungsverzeichnis"/>
        <w:rPr>
          <w:rFonts w:asciiTheme="minorHAnsi" w:eastAsiaTheme="minorEastAsia" w:hAnsiTheme="minorHAnsi" w:cstheme="minorBidi"/>
          <w:noProof/>
          <w:lang w:eastAsia="de-CH"/>
        </w:rPr>
      </w:pPr>
      <w:hyperlink w:anchor="_Toc421696307" w:history="1">
        <w:r w:rsidR="004A0EBA" w:rsidRPr="007B19DC">
          <w:rPr>
            <w:rStyle w:val="Hyperlink"/>
            <w:noProof/>
          </w:rPr>
          <w:t>Tableau 11 (indicateurs de la consommation d’énergie en 2011)</w:t>
        </w:r>
        <w:r w:rsidR="004A0EBA">
          <w:rPr>
            <w:noProof/>
            <w:webHidden/>
          </w:rPr>
          <w:tab/>
        </w:r>
        <w:r w:rsidR="004A0EBA">
          <w:rPr>
            <w:noProof/>
            <w:webHidden/>
          </w:rPr>
          <w:fldChar w:fldCharType="begin"/>
        </w:r>
        <w:r w:rsidR="004A0EBA">
          <w:rPr>
            <w:noProof/>
            <w:webHidden/>
          </w:rPr>
          <w:instrText xml:space="preserve"> PAGEREF _Toc421696307 \h </w:instrText>
        </w:r>
        <w:r w:rsidR="004A0EBA">
          <w:rPr>
            <w:noProof/>
            <w:webHidden/>
          </w:rPr>
        </w:r>
        <w:r w:rsidR="004A0EBA">
          <w:rPr>
            <w:noProof/>
            <w:webHidden/>
          </w:rPr>
          <w:fldChar w:fldCharType="separate"/>
        </w:r>
        <w:r w:rsidR="004A0EBA">
          <w:rPr>
            <w:noProof/>
            <w:webHidden/>
          </w:rPr>
          <w:t>28</w:t>
        </w:r>
        <w:r w:rsidR="004A0EBA">
          <w:rPr>
            <w:noProof/>
            <w:webHidden/>
          </w:rPr>
          <w:fldChar w:fldCharType="end"/>
        </w:r>
      </w:hyperlink>
    </w:p>
    <w:p w14:paraId="46434EA7" w14:textId="77777777" w:rsidR="004A0EBA" w:rsidRDefault="00584FFB">
      <w:pPr>
        <w:pStyle w:val="Abbildungsverzeichnis"/>
        <w:rPr>
          <w:rFonts w:asciiTheme="minorHAnsi" w:eastAsiaTheme="minorEastAsia" w:hAnsiTheme="minorHAnsi" w:cstheme="minorBidi"/>
          <w:noProof/>
          <w:lang w:eastAsia="de-CH"/>
        </w:rPr>
      </w:pPr>
      <w:hyperlink w:anchor="_Toc421696308" w:history="1">
        <w:r w:rsidR="004A0EBA" w:rsidRPr="007B19DC">
          <w:rPr>
            <w:rStyle w:val="Hyperlink"/>
            <w:noProof/>
          </w:rPr>
          <w:t>Tableau 12 (mesures réalisées visant à réduire les émissions de gaz à effet de serre et à économiser l’énergie)</w:t>
        </w:r>
        <w:r w:rsidR="004A0EBA">
          <w:rPr>
            <w:noProof/>
            <w:webHidden/>
          </w:rPr>
          <w:tab/>
        </w:r>
        <w:r w:rsidR="004A0EBA">
          <w:rPr>
            <w:noProof/>
            <w:webHidden/>
          </w:rPr>
          <w:fldChar w:fldCharType="begin"/>
        </w:r>
        <w:r w:rsidR="004A0EBA">
          <w:rPr>
            <w:noProof/>
            <w:webHidden/>
          </w:rPr>
          <w:instrText xml:space="preserve"> PAGEREF _Toc421696308 \h </w:instrText>
        </w:r>
        <w:r w:rsidR="004A0EBA">
          <w:rPr>
            <w:noProof/>
            <w:webHidden/>
          </w:rPr>
        </w:r>
        <w:r w:rsidR="004A0EBA">
          <w:rPr>
            <w:noProof/>
            <w:webHidden/>
          </w:rPr>
          <w:fldChar w:fldCharType="separate"/>
        </w:r>
        <w:r w:rsidR="004A0EBA">
          <w:rPr>
            <w:noProof/>
            <w:webHidden/>
          </w:rPr>
          <w:t>30</w:t>
        </w:r>
        <w:r w:rsidR="004A0EBA">
          <w:rPr>
            <w:noProof/>
            <w:webHidden/>
          </w:rPr>
          <w:fldChar w:fldCharType="end"/>
        </w:r>
      </w:hyperlink>
    </w:p>
    <w:p w14:paraId="1F2D42DF" w14:textId="77777777" w:rsidR="004A0EBA" w:rsidRDefault="00584FFB">
      <w:pPr>
        <w:pStyle w:val="Abbildungsverzeichnis"/>
        <w:rPr>
          <w:rFonts w:asciiTheme="minorHAnsi" w:eastAsiaTheme="minorEastAsia" w:hAnsiTheme="minorHAnsi" w:cstheme="minorBidi"/>
          <w:noProof/>
          <w:lang w:eastAsia="de-CH"/>
        </w:rPr>
      </w:pPr>
      <w:hyperlink w:anchor="_Toc421696309" w:history="1">
        <w:r w:rsidR="004A0EBA" w:rsidRPr="007B19DC">
          <w:rPr>
            <w:rStyle w:val="Hyperlink"/>
            <w:noProof/>
          </w:rPr>
          <w:t>Tableau 13 (projets antérieurs / modifications de la production et des procédés / études énergétiques)</w:t>
        </w:r>
        <w:r w:rsidR="004A0EBA">
          <w:rPr>
            <w:noProof/>
            <w:webHidden/>
          </w:rPr>
          <w:tab/>
        </w:r>
        <w:r w:rsidR="004A0EBA">
          <w:rPr>
            <w:noProof/>
            <w:webHidden/>
          </w:rPr>
          <w:fldChar w:fldCharType="begin"/>
        </w:r>
        <w:r w:rsidR="004A0EBA">
          <w:rPr>
            <w:noProof/>
            <w:webHidden/>
          </w:rPr>
          <w:instrText xml:space="preserve"> PAGEREF _Toc421696309 \h </w:instrText>
        </w:r>
        <w:r w:rsidR="004A0EBA">
          <w:rPr>
            <w:noProof/>
            <w:webHidden/>
          </w:rPr>
        </w:r>
        <w:r w:rsidR="004A0EBA">
          <w:rPr>
            <w:noProof/>
            <w:webHidden/>
          </w:rPr>
          <w:fldChar w:fldCharType="separate"/>
        </w:r>
        <w:r w:rsidR="004A0EBA">
          <w:rPr>
            <w:noProof/>
            <w:webHidden/>
          </w:rPr>
          <w:t>32</w:t>
        </w:r>
        <w:r w:rsidR="004A0EBA">
          <w:rPr>
            <w:noProof/>
            <w:webHidden/>
          </w:rPr>
          <w:fldChar w:fldCharType="end"/>
        </w:r>
      </w:hyperlink>
    </w:p>
    <w:p w14:paraId="266B3590" w14:textId="77777777" w:rsidR="004A0EBA" w:rsidRDefault="00584FFB">
      <w:pPr>
        <w:pStyle w:val="Abbildungsverzeichnis"/>
        <w:rPr>
          <w:rFonts w:asciiTheme="minorHAnsi" w:eastAsiaTheme="minorEastAsia" w:hAnsiTheme="minorHAnsi" w:cstheme="minorBidi"/>
          <w:noProof/>
          <w:lang w:eastAsia="de-CH"/>
        </w:rPr>
      </w:pPr>
      <w:hyperlink w:anchor="_Toc421696310" w:history="1">
        <w:r w:rsidR="004A0EBA" w:rsidRPr="007B19DC">
          <w:rPr>
            <w:rStyle w:val="Hyperlink"/>
            <w:noProof/>
          </w:rPr>
          <w:t>Tableau 14 (transformation et distribution des énergies finales thermiques et des déchets internes)</w:t>
        </w:r>
        <w:r w:rsidR="004A0EBA">
          <w:rPr>
            <w:noProof/>
            <w:webHidden/>
          </w:rPr>
          <w:tab/>
        </w:r>
        <w:r w:rsidR="004A0EBA">
          <w:rPr>
            <w:noProof/>
            <w:webHidden/>
          </w:rPr>
          <w:fldChar w:fldCharType="begin"/>
        </w:r>
        <w:r w:rsidR="004A0EBA">
          <w:rPr>
            <w:noProof/>
            <w:webHidden/>
          </w:rPr>
          <w:instrText xml:space="preserve"> PAGEREF _Toc421696310 \h </w:instrText>
        </w:r>
        <w:r w:rsidR="004A0EBA">
          <w:rPr>
            <w:noProof/>
            <w:webHidden/>
          </w:rPr>
        </w:r>
        <w:r w:rsidR="004A0EBA">
          <w:rPr>
            <w:noProof/>
            <w:webHidden/>
          </w:rPr>
          <w:fldChar w:fldCharType="separate"/>
        </w:r>
        <w:r w:rsidR="004A0EBA">
          <w:rPr>
            <w:noProof/>
            <w:webHidden/>
          </w:rPr>
          <w:t>36</w:t>
        </w:r>
        <w:r w:rsidR="004A0EBA">
          <w:rPr>
            <w:noProof/>
            <w:webHidden/>
          </w:rPr>
          <w:fldChar w:fldCharType="end"/>
        </w:r>
      </w:hyperlink>
    </w:p>
    <w:p w14:paraId="79F292E6" w14:textId="77777777" w:rsidR="004A0EBA" w:rsidRDefault="00584FFB">
      <w:pPr>
        <w:pStyle w:val="Abbildungsverzeichnis"/>
        <w:rPr>
          <w:rFonts w:asciiTheme="minorHAnsi" w:eastAsiaTheme="minorEastAsia" w:hAnsiTheme="minorHAnsi" w:cstheme="minorBidi"/>
          <w:noProof/>
          <w:lang w:eastAsia="de-CH"/>
        </w:rPr>
      </w:pPr>
      <w:hyperlink w:anchor="_Toc421696311" w:history="1">
        <w:r w:rsidR="004A0EBA" w:rsidRPr="007B19DC">
          <w:rPr>
            <w:rStyle w:val="Hyperlink"/>
            <w:noProof/>
          </w:rPr>
          <w:t>Tableau 15 (machines frigorifiques et pompes à chaleur)</w:t>
        </w:r>
        <w:r w:rsidR="004A0EBA">
          <w:rPr>
            <w:noProof/>
            <w:webHidden/>
          </w:rPr>
          <w:tab/>
        </w:r>
        <w:r w:rsidR="004A0EBA">
          <w:rPr>
            <w:noProof/>
            <w:webHidden/>
          </w:rPr>
          <w:fldChar w:fldCharType="begin"/>
        </w:r>
        <w:r w:rsidR="004A0EBA">
          <w:rPr>
            <w:noProof/>
            <w:webHidden/>
          </w:rPr>
          <w:instrText xml:space="preserve"> PAGEREF _Toc421696311 \h </w:instrText>
        </w:r>
        <w:r w:rsidR="004A0EBA">
          <w:rPr>
            <w:noProof/>
            <w:webHidden/>
          </w:rPr>
        </w:r>
        <w:r w:rsidR="004A0EBA">
          <w:rPr>
            <w:noProof/>
            <w:webHidden/>
          </w:rPr>
          <w:fldChar w:fldCharType="separate"/>
        </w:r>
        <w:r w:rsidR="004A0EBA">
          <w:rPr>
            <w:noProof/>
            <w:webHidden/>
          </w:rPr>
          <w:t>39</w:t>
        </w:r>
        <w:r w:rsidR="004A0EBA">
          <w:rPr>
            <w:noProof/>
            <w:webHidden/>
          </w:rPr>
          <w:fldChar w:fldCharType="end"/>
        </w:r>
      </w:hyperlink>
    </w:p>
    <w:p w14:paraId="69FA8D98" w14:textId="77777777" w:rsidR="004A0EBA" w:rsidRDefault="00584FFB">
      <w:pPr>
        <w:pStyle w:val="Abbildungsverzeichnis"/>
        <w:rPr>
          <w:rFonts w:asciiTheme="minorHAnsi" w:eastAsiaTheme="minorEastAsia" w:hAnsiTheme="minorHAnsi" w:cstheme="minorBidi"/>
          <w:noProof/>
          <w:lang w:eastAsia="de-CH"/>
        </w:rPr>
      </w:pPr>
      <w:hyperlink w:anchor="_Toc421696312" w:history="1">
        <w:r w:rsidR="004A0EBA" w:rsidRPr="007B19DC">
          <w:rPr>
            <w:rStyle w:val="Hyperlink"/>
            <w:noProof/>
          </w:rPr>
          <w:t>Tableau 16 (consommateurs de chaleur [énergie thermique utile])</w:t>
        </w:r>
        <w:r w:rsidR="004A0EBA">
          <w:rPr>
            <w:noProof/>
            <w:webHidden/>
          </w:rPr>
          <w:tab/>
        </w:r>
        <w:r w:rsidR="004A0EBA">
          <w:rPr>
            <w:noProof/>
            <w:webHidden/>
          </w:rPr>
          <w:fldChar w:fldCharType="begin"/>
        </w:r>
        <w:r w:rsidR="004A0EBA">
          <w:rPr>
            <w:noProof/>
            <w:webHidden/>
          </w:rPr>
          <w:instrText xml:space="preserve"> PAGEREF _Toc421696312 \h </w:instrText>
        </w:r>
        <w:r w:rsidR="004A0EBA">
          <w:rPr>
            <w:noProof/>
            <w:webHidden/>
          </w:rPr>
        </w:r>
        <w:r w:rsidR="004A0EBA">
          <w:rPr>
            <w:noProof/>
            <w:webHidden/>
          </w:rPr>
          <w:fldChar w:fldCharType="separate"/>
        </w:r>
        <w:r w:rsidR="004A0EBA">
          <w:rPr>
            <w:noProof/>
            <w:webHidden/>
          </w:rPr>
          <w:t>41</w:t>
        </w:r>
        <w:r w:rsidR="004A0EBA">
          <w:rPr>
            <w:noProof/>
            <w:webHidden/>
          </w:rPr>
          <w:fldChar w:fldCharType="end"/>
        </w:r>
      </w:hyperlink>
    </w:p>
    <w:p w14:paraId="4C16ECCA" w14:textId="77777777" w:rsidR="004A0EBA" w:rsidRDefault="00584FFB">
      <w:pPr>
        <w:pStyle w:val="Abbildungsverzeichnis"/>
        <w:rPr>
          <w:rFonts w:asciiTheme="minorHAnsi" w:eastAsiaTheme="minorEastAsia" w:hAnsiTheme="minorHAnsi" w:cstheme="minorBidi"/>
          <w:noProof/>
          <w:lang w:eastAsia="de-CH"/>
        </w:rPr>
      </w:pPr>
      <w:hyperlink w:anchor="_Toc421696313" w:history="1">
        <w:r w:rsidR="004A0EBA" w:rsidRPr="007B19DC">
          <w:rPr>
            <w:rStyle w:val="Hyperlink"/>
            <w:noProof/>
          </w:rPr>
          <w:t>Tableau 17 (compresseurs à air comprimé et autres grands consommateurs d’électricité)</w:t>
        </w:r>
        <w:r w:rsidR="004A0EBA">
          <w:rPr>
            <w:noProof/>
            <w:webHidden/>
          </w:rPr>
          <w:tab/>
        </w:r>
        <w:r w:rsidR="004A0EBA">
          <w:rPr>
            <w:noProof/>
            <w:webHidden/>
          </w:rPr>
          <w:fldChar w:fldCharType="begin"/>
        </w:r>
        <w:r w:rsidR="004A0EBA">
          <w:rPr>
            <w:noProof/>
            <w:webHidden/>
          </w:rPr>
          <w:instrText xml:space="preserve"> PAGEREF _Toc421696313 \h </w:instrText>
        </w:r>
        <w:r w:rsidR="004A0EBA">
          <w:rPr>
            <w:noProof/>
            <w:webHidden/>
          </w:rPr>
        </w:r>
        <w:r w:rsidR="004A0EBA">
          <w:rPr>
            <w:noProof/>
            <w:webHidden/>
          </w:rPr>
          <w:fldChar w:fldCharType="separate"/>
        </w:r>
        <w:r w:rsidR="004A0EBA">
          <w:rPr>
            <w:noProof/>
            <w:webHidden/>
          </w:rPr>
          <w:t>45</w:t>
        </w:r>
        <w:r w:rsidR="004A0EBA">
          <w:rPr>
            <w:noProof/>
            <w:webHidden/>
          </w:rPr>
          <w:fldChar w:fldCharType="end"/>
        </w:r>
      </w:hyperlink>
    </w:p>
    <w:p w14:paraId="2686E2CB" w14:textId="77777777" w:rsidR="004A0EBA" w:rsidRDefault="00584FFB">
      <w:pPr>
        <w:pStyle w:val="Abbildungsverzeichnis"/>
        <w:rPr>
          <w:rFonts w:asciiTheme="minorHAnsi" w:eastAsiaTheme="minorEastAsia" w:hAnsiTheme="minorHAnsi" w:cstheme="minorBidi"/>
          <w:noProof/>
          <w:lang w:eastAsia="de-CH"/>
        </w:rPr>
      </w:pPr>
      <w:hyperlink w:anchor="_Toc421696314" w:history="1">
        <w:r w:rsidR="004A0EBA" w:rsidRPr="007B19DC">
          <w:rPr>
            <w:rStyle w:val="Hyperlink"/>
            <w:noProof/>
          </w:rPr>
          <w:t>Tableau 18 (relevé du potentiel des rejets de chaleur)</w:t>
        </w:r>
        <w:r w:rsidR="004A0EBA">
          <w:rPr>
            <w:noProof/>
            <w:webHidden/>
          </w:rPr>
          <w:tab/>
        </w:r>
        <w:r w:rsidR="004A0EBA">
          <w:rPr>
            <w:noProof/>
            <w:webHidden/>
          </w:rPr>
          <w:fldChar w:fldCharType="begin"/>
        </w:r>
        <w:r w:rsidR="004A0EBA">
          <w:rPr>
            <w:noProof/>
            <w:webHidden/>
          </w:rPr>
          <w:instrText xml:space="preserve"> PAGEREF _Toc421696314 \h </w:instrText>
        </w:r>
        <w:r w:rsidR="004A0EBA">
          <w:rPr>
            <w:noProof/>
            <w:webHidden/>
          </w:rPr>
        </w:r>
        <w:r w:rsidR="004A0EBA">
          <w:rPr>
            <w:noProof/>
            <w:webHidden/>
          </w:rPr>
          <w:fldChar w:fldCharType="separate"/>
        </w:r>
        <w:r w:rsidR="004A0EBA">
          <w:rPr>
            <w:noProof/>
            <w:webHidden/>
          </w:rPr>
          <w:t>47</w:t>
        </w:r>
        <w:r w:rsidR="004A0EBA">
          <w:rPr>
            <w:noProof/>
            <w:webHidden/>
          </w:rPr>
          <w:fldChar w:fldCharType="end"/>
        </w:r>
      </w:hyperlink>
    </w:p>
    <w:p w14:paraId="1FB73E52" w14:textId="77777777" w:rsidR="004A0EBA" w:rsidRDefault="00584FFB">
      <w:pPr>
        <w:pStyle w:val="Abbildungsverzeichnis"/>
        <w:rPr>
          <w:rFonts w:asciiTheme="minorHAnsi" w:eastAsiaTheme="minorEastAsia" w:hAnsiTheme="minorHAnsi" w:cstheme="minorBidi"/>
          <w:noProof/>
          <w:lang w:eastAsia="de-CH"/>
        </w:rPr>
      </w:pPr>
      <w:hyperlink w:anchor="_Toc421696315" w:history="1">
        <w:r w:rsidR="004A0EBA" w:rsidRPr="007B19DC">
          <w:rPr>
            <w:rStyle w:val="Hyperlink"/>
            <w:noProof/>
          </w:rPr>
          <w:t>Tableau 19 (tableau des mesures)</w:t>
        </w:r>
        <w:r w:rsidR="004A0EBA">
          <w:rPr>
            <w:noProof/>
            <w:webHidden/>
          </w:rPr>
          <w:tab/>
        </w:r>
        <w:r w:rsidR="004A0EBA">
          <w:rPr>
            <w:noProof/>
            <w:webHidden/>
          </w:rPr>
          <w:fldChar w:fldCharType="begin"/>
        </w:r>
        <w:r w:rsidR="004A0EBA">
          <w:rPr>
            <w:noProof/>
            <w:webHidden/>
          </w:rPr>
          <w:instrText xml:space="preserve"> PAGEREF _Toc421696315 \h </w:instrText>
        </w:r>
        <w:r w:rsidR="004A0EBA">
          <w:rPr>
            <w:noProof/>
            <w:webHidden/>
          </w:rPr>
        </w:r>
        <w:r w:rsidR="004A0EBA">
          <w:rPr>
            <w:noProof/>
            <w:webHidden/>
          </w:rPr>
          <w:fldChar w:fldCharType="separate"/>
        </w:r>
        <w:r w:rsidR="004A0EBA">
          <w:rPr>
            <w:noProof/>
            <w:webHidden/>
          </w:rPr>
          <w:t>54</w:t>
        </w:r>
        <w:r w:rsidR="004A0EBA">
          <w:rPr>
            <w:noProof/>
            <w:webHidden/>
          </w:rPr>
          <w:fldChar w:fldCharType="end"/>
        </w:r>
      </w:hyperlink>
    </w:p>
    <w:p w14:paraId="49B0E63F" w14:textId="77777777" w:rsidR="0006214D" w:rsidRPr="00B4595A" w:rsidRDefault="003714FF" w:rsidP="00360A9F">
      <w:pPr>
        <w:pStyle w:val="FormatvorlageAbbildungsverzeichnisLinks12cmRechts-12cm2"/>
      </w:pPr>
      <w:r w:rsidRPr="00B4595A">
        <w:fldChar w:fldCharType="end"/>
      </w:r>
    </w:p>
    <w:p w14:paraId="227DE05F" w14:textId="77777777" w:rsidR="00490A9F" w:rsidRPr="00401BD0" w:rsidRDefault="00595461" w:rsidP="00401BD0">
      <w:pPr>
        <w:pStyle w:val="berschrift1"/>
      </w:pPr>
      <w:r>
        <w:br w:type="page"/>
      </w:r>
      <w:bookmarkStart w:id="3" w:name="_Toc421696259"/>
      <w:r w:rsidRPr="00401BD0">
        <w:lastRenderedPageBreak/>
        <w:t>Introduction</w:t>
      </w:r>
      <w:bookmarkEnd w:id="3"/>
    </w:p>
    <w:p w14:paraId="52155C0D" w14:textId="77777777" w:rsidR="00595461" w:rsidRPr="00595461" w:rsidRDefault="00595461" w:rsidP="000073BF">
      <w:pPr>
        <w:pStyle w:val="berschrift2"/>
      </w:pPr>
      <w:bookmarkStart w:id="4" w:name="_Toc347303561"/>
      <w:bookmarkStart w:id="5" w:name="_Toc347853246"/>
      <w:bookmarkStart w:id="6" w:name="_Toc354127691"/>
      <w:bookmarkStart w:id="7" w:name="_Toc421696260"/>
      <w:r w:rsidRPr="00595461">
        <w:t>Quand faut-il/faudrait-il effectuer une analyse des potentiels?</w:t>
      </w:r>
      <w:bookmarkEnd w:id="4"/>
      <w:bookmarkEnd w:id="5"/>
      <w:bookmarkEnd w:id="6"/>
      <w:bookmarkEnd w:id="7"/>
    </w:p>
    <w:p w14:paraId="187939C3" w14:textId="3A3FD869" w:rsidR="00595461" w:rsidRPr="00595461" w:rsidRDefault="00595461" w:rsidP="00595461">
      <w:pPr>
        <w:rPr>
          <w:lang w:val="fr-CH"/>
        </w:rPr>
      </w:pPr>
      <w:r w:rsidRPr="00595461">
        <w:rPr>
          <w:lang w:val="fr-CH"/>
        </w:rPr>
        <w:t>L’analyse des potentiels est obligatoire pour les entreprises qui veulent conclure une convention d’objectif</w:t>
      </w:r>
      <w:r w:rsidR="00282100">
        <w:rPr>
          <w:lang w:val="fr-CH"/>
        </w:rPr>
        <w:t>s</w:t>
      </w:r>
      <w:r w:rsidRPr="00595461">
        <w:rPr>
          <w:lang w:val="fr-CH"/>
        </w:rPr>
        <w:t xml:space="preserve"> avec la Confédération et/ou demander une exemption de la taxe sur le CO</w:t>
      </w:r>
      <w:r w:rsidRPr="00595461">
        <w:rPr>
          <w:vertAlign w:val="subscript"/>
          <w:lang w:val="fr-CH"/>
        </w:rPr>
        <w:t xml:space="preserve">2 </w:t>
      </w:r>
      <w:r w:rsidRPr="00595461">
        <w:rPr>
          <w:lang w:val="fr-CH"/>
        </w:rPr>
        <w:t>conformément à l’art. 67, al. 1 à 3 ou à l’art. 68 de l’ordonnance sur le CO</w:t>
      </w:r>
      <w:r w:rsidRPr="00595461">
        <w:rPr>
          <w:vertAlign w:val="subscript"/>
          <w:lang w:val="fr-CH"/>
        </w:rPr>
        <w:t>2</w:t>
      </w:r>
      <w:r w:rsidRPr="00595461">
        <w:rPr>
          <w:lang w:val="fr-CH"/>
        </w:rPr>
        <w:t>.</w:t>
      </w:r>
      <w:r w:rsidR="0071371C">
        <w:rPr>
          <w:lang w:val="fr-CH"/>
        </w:rPr>
        <w:t xml:space="preserve"> L’analyse des potentiels constitue la base des conventions d’objectifs nécessaires à l’obtention du remboursement du supplément sur les coûts de transport des réseaux à haute tension </w:t>
      </w:r>
      <w:r w:rsidR="00CC2B85">
        <w:rPr>
          <w:lang w:val="fr-CH"/>
        </w:rPr>
        <w:t xml:space="preserve">(supplément) </w:t>
      </w:r>
      <w:r w:rsidR="00B525DE">
        <w:rPr>
          <w:lang w:val="fr-CH"/>
        </w:rPr>
        <w:t>au sens de l’art. 15</w:t>
      </w:r>
      <w:r w:rsidR="0071371C">
        <w:rPr>
          <w:lang w:val="fr-CH"/>
        </w:rPr>
        <w:t>b</w:t>
      </w:r>
      <w:r w:rsidR="0071371C" w:rsidRPr="00FE38EE">
        <w:rPr>
          <w:vertAlign w:val="superscript"/>
          <w:lang w:val="fr-CH"/>
        </w:rPr>
        <w:t>bis1</w:t>
      </w:r>
      <w:r w:rsidR="00B525DE">
        <w:rPr>
          <w:lang w:val="fr-CH"/>
        </w:rPr>
        <w:t xml:space="preserve"> de la loi sur l’énergie.</w:t>
      </w:r>
      <w:r w:rsidR="00533288">
        <w:rPr>
          <w:lang w:val="fr-CH"/>
        </w:rPr>
        <w:t xml:space="preserve"> </w:t>
      </w:r>
      <w:r w:rsidR="00FC0C82">
        <w:rPr>
          <w:lang w:val="fr-CH"/>
        </w:rPr>
        <w:t>Elle</w:t>
      </w:r>
      <w:r w:rsidR="00533288">
        <w:rPr>
          <w:lang w:val="fr-CH"/>
        </w:rPr>
        <w:t xml:space="preserve"> s’applique lors de l’élaboration des conventions d’objectifs universelles et des conventions d’objectifs volontaires. </w:t>
      </w:r>
    </w:p>
    <w:p w14:paraId="7DA9BBE9" w14:textId="77777777" w:rsidR="00595461" w:rsidRPr="00595461" w:rsidRDefault="00595461" w:rsidP="00595461">
      <w:pPr>
        <w:rPr>
          <w:lang w:val="fr-CH"/>
        </w:rPr>
      </w:pPr>
      <w:r w:rsidRPr="00595461">
        <w:rPr>
          <w:lang w:val="fr-CH"/>
        </w:rPr>
        <w:t>Les entreprises qui ont déjà bénéficié de l’exemption de la taxe sur le CO</w:t>
      </w:r>
      <w:r w:rsidRPr="00595461">
        <w:rPr>
          <w:vertAlign w:val="subscript"/>
          <w:lang w:val="fr-CH"/>
        </w:rPr>
        <w:t>2</w:t>
      </w:r>
      <w:r w:rsidRPr="00595461">
        <w:rPr>
          <w:lang w:val="fr-CH"/>
        </w:rPr>
        <w:t xml:space="preserve"> lors de la première période d’engagement (2008-2012) ne doivent pas effectuer de nouvelle analyse des potentiels dans la mesure où la trajectoire de réduction a été déterminée de façon simplifiée conformément à l’art. 67, al. 4 et à l’art. 5 de l’ordonnance sur le CO</w:t>
      </w:r>
      <w:r w:rsidRPr="00595461">
        <w:rPr>
          <w:vertAlign w:val="subscript"/>
          <w:lang w:val="fr-CH"/>
        </w:rPr>
        <w:t>2</w:t>
      </w:r>
      <w:r w:rsidRPr="00595461">
        <w:rPr>
          <w:lang w:val="fr-CH"/>
        </w:rPr>
        <w:t xml:space="preserve">. </w:t>
      </w:r>
    </w:p>
    <w:p w14:paraId="739AE42F" w14:textId="77777777" w:rsidR="00595461" w:rsidRPr="00595461" w:rsidRDefault="00595461" w:rsidP="00595461">
      <w:pPr>
        <w:rPr>
          <w:lang w:val="fr-CH"/>
        </w:rPr>
      </w:pPr>
      <w:r w:rsidRPr="00595461">
        <w:rPr>
          <w:lang w:val="fr-CH"/>
        </w:rPr>
        <w:t>Une entreprise doit se servir du présent guide afin d’effectuer une analyse des potentiels si elle n’utilise pas pour définir ses objectifs une application intégrant par défaut une analyse des potentiels. Les applications suivantes remplissent actuellement les exigences de la Confédération:</w:t>
      </w:r>
    </w:p>
    <w:p w14:paraId="1830D9BC" w14:textId="3A0EC56D" w:rsidR="00595461" w:rsidRDefault="00533288" w:rsidP="000D4B44">
      <w:pPr>
        <w:pStyle w:val="Listenabsatz"/>
        <w:numPr>
          <w:ilvl w:val="0"/>
          <w:numId w:val="13"/>
        </w:numPr>
        <w:ind w:left="1134" w:hanging="425"/>
        <w:rPr>
          <w:lang w:val="fr-CH"/>
        </w:rPr>
      </w:pPr>
      <w:r>
        <w:rPr>
          <w:lang w:val="fr-CH"/>
        </w:rPr>
        <w:t>objectif d’efficacité énergétique et objectif d’émission (</w:t>
      </w:r>
      <w:r w:rsidR="00595461" w:rsidRPr="00595461">
        <w:rPr>
          <w:lang w:val="fr-CH"/>
        </w:rPr>
        <w:t>modèle Energie</w:t>
      </w:r>
      <w:r>
        <w:rPr>
          <w:lang w:val="fr-CH"/>
        </w:rPr>
        <w:t>)</w:t>
      </w:r>
      <w:r w:rsidR="00595461" w:rsidRPr="00595461">
        <w:rPr>
          <w:lang w:val="fr-CH"/>
        </w:rPr>
        <w:t xml:space="preserve"> de l’Agence de l’énergie pour l’économie </w:t>
      </w:r>
      <w:r w:rsidR="00E465B3">
        <w:rPr>
          <w:lang w:val="fr-CH"/>
        </w:rPr>
        <w:t>(</w:t>
      </w:r>
      <w:r w:rsidR="00595461" w:rsidRPr="00595461">
        <w:rPr>
          <w:lang w:val="fr-CH"/>
        </w:rPr>
        <w:t>AEnEC</w:t>
      </w:r>
      <w:r w:rsidR="00E465B3">
        <w:rPr>
          <w:lang w:val="fr-CH"/>
        </w:rPr>
        <w:t>)</w:t>
      </w:r>
    </w:p>
    <w:p w14:paraId="01AC8A96" w14:textId="63B8B44C" w:rsidR="00533288" w:rsidRDefault="00533288" w:rsidP="004E338D">
      <w:pPr>
        <w:pStyle w:val="Listenabsatz"/>
        <w:numPr>
          <w:ilvl w:val="0"/>
          <w:numId w:val="13"/>
        </w:numPr>
        <w:ind w:left="1134" w:hanging="425"/>
        <w:rPr>
          <w:lang w:val="fr-CH"/>
        </w:rPr>
      </w:pPr>
      <w:r w:rsidRPr="004E338D">
        <w:rPr>
          <w:lang w:val="fr-CH"/>
        </w:rPr>
        <w:t>objectif fondé sur des mesures (</w:t>
      </w:r>
      <w:r w:rsidR="00595461" w:rsidRPr="00533288">
        <w:rPr>
          <w:lang w:val="fr-CH"/>
        </w:rPr>
        <w:t>modèle PME</w:t>
      </w:r>
      <w:r>
        <w:rPr>
          <w:lang w:val="fr-CH"/>
        </w:rPr>
        <w:t>)</w:t>
      </w:r>
      <w:r w:rsidR="00595461" w:rsidRPr="004E338D">
        <w:rPr>
          <w:lang w:val="fr-CH"/>
        </w:rPr>
        <w:t xml:space="preserve"> de l’Agence de l’énergie pour l’économie </w:t>
      </w:r>
      <w:r w:rsidR="00E465B3">
        <w:rPr>
          <w:lang w:val="fr-CH"/>
        </w:rPr>
        <w:t>(</w:t>
      </w:r>
      <w:r w:rsidR="00595461" w:rsidRPr="004E338D">
        <w:rPr>
          <w:lang w:val="fr-CH"/>
        </w:rPr>
        <w:t>AEnEC</w:t>
      </w:r>
      <w:r w:rsidR="00E465B3">
        <w:rPr>
          <w:lang w:val="fr-CH"/>
        </w:rPr>
        <w:t>)</w:t>
      </w:r>
    </w:p>
    <w:p w14:paraId="534D4ADF" w14:textId="77777777" w:rsidR="00533288" w:rsidRDefault="00533288">
      <w:pPr>
        <w:pStyle w:val="Listenabsatz"/>
        <w:numPr>
          <w:ilvl w:val="0"/>
          <w:numId w:val="13"/>
        </w:numPr>
        <w:ind w:left="1134" w:hanging="425"/>
        <w:rPr>
          <w:lang w:val="fr-CH"/>
        </w:rPr>
      </w:pPr>
      <w:r>
        <w:rPr>
          <w:lang w:val="fr-CH"/>
        </w:rPr>
        <w:t>objectif d’efficacité énergétique et objectif d’émission de l’Agence Cleantech Suisse (act)</w:t>
      </w:r>
    </w:p>
    <w:p w14:paraId="573E3790" w14:textId="3FE9AF4F" w:rsidR="00595461" w:rsidRPr="004E338D" w:rsidRDefault="00533288">
      <w:pPr>
        <w:pStyle w:val="Listenabsatz"/>
        <w:numPr>
          <w:ilvl w:val="0"/>
          <w:numId w:val="13"/>
        </w:numPr>
        <w:ind w:left="1134" w:hanging="425"/>
        <w:rPr>
          <w:lang w:val="fr-CH"/>
        </w:rPr>
      </w:pPr>
      <w:r w:rsidRPr="007645AA">
        <w:rPr>
          <w:lang w:val="fr-CH"/>
        </w:rPr>
        <w:t>objectif fondé sur des mesures</w:t>
      </w:r>
      <w:r>
        <w:rPr>
          <w:lang w:val="fr-CH"/>
        </w:rPr>
        <w:t xml:space="preserve"> de l’Agence Cleantech Suisse (act)</w:t>
      </w:r>
    </w:p>
    <w:p w14:paraId="08E66509" w14:textId="77777777" w:rsidR="00595461" w:rsidRPr="00595461" w:rsidRDefault="00595461" w:rsidP="00FB28EB">
      <w:pPr>
        <w:spacing w:before="120"/>
        <w:rPr>
          <w:lang w:val="fr-CH"/>
        </w:rPr>
      </w:pPr>
      <w:bookmarkStart w:id="8" w:name="_DV_C189"/>
      <w:r w:rsidRPr="00595461">
        <w:rPr>
          <w:rStyle w:val="DeltaViewInsertion"/>
          <w:b/>
          <w:color w:val="auto"/>
          <w:szCs w:val="28"/>
          <w:u w:val="none"/>
          <w:lang w:val="fr-CH"/>
        </w:rPr>
        <w:t>Proposition d’objectif pour l’exemption de la taxe sur le CO</w:t>
      </w:r>
      <w:r w:rsidRPr="00595461">
        <w:rPr>
          <w:rStyle w:val="DeltaViewInsertion"/>
          <w:b/>
          <w:color w:val="auto"/>
          <w:szCs w:val="28"/>
          <w:u w:val="none"/>
          <w:vertAlign w:val="subscript"/>
          <w:lang w:val="fr-CH"/>
        </w:rPr>
        <w:t>2</w:t>
      </w:r>
      <w:r w:rsidRPr="00595461">
        <w:rPr>
          <w:rStyle w:val="DeltaViewInsertion"/>
          <w:b/>
          <w:color w:val="auto"/>
          <w:szCs w:val="28"/>
          <w:u w:val="none"/>
          <w:lang w:val="fr-CH"/>
        </w:rPr>
        <w:t xml:space="preserve"> </w:t>
      </w:r>
      <w:bookmarkEnd w:id="8"/>
    </w:p>
    <w:p w14:paraId="09BEB5F5" w14:textId="77777777" w:rsidR="00595461" w:rsidRPr="00595461" w:rsidRDefault="00595461" w:rsidP="00595461">
      <w:pPr>
        <w:rPr>
          <w:lang w:val="fr-CH"/>
        </w:rPr>
      </w:pPr>
      <w:bookmarkStart w:id="9" w:name="_DV_C190"/>
      <w:r w:rsidRPr="00401BD0">
        <w:rPr>
          <w:lang w:val="fr-CH"/>
        </w:rPr>
        <w:t xml:space="preserve">La Communication «Exemption de la taxe sur le </w:t>
      </w:r>
      <w:r w:rsidR="004F1A25" w:rsidRPr="00A616B3">
        <w:rPr>
          <w:sz w:val="20"/>
          <w:szCs w:val="24"/>
          <w:lang w:val="fr-CH"/>
        </w:rPr>
        <w:t>CO</w:t>
      </w:r>
      <w:r w:rsidR="004F1A25" w:rsidRPr="004F1A25">
        <w:rPr>
          <w:sz w:val="20"/>
          <w:szCs w:val="24"/>
          <w:vertAlign w:val="subscript"/>
          <w:lang w:val="fr-CH"/>
        </w:rPr>
        <w:t>2</w:t>
      </w:r>
      <w:r w:rsidR="004F1A25">
        <w:rPr>
          <w:sz w:val="20"/>
          <w:szCs w:val="24"/>
          <w:vertAlign w:val="subscript"/>
          <w:lang w:val="fr-CH"/>
        </w:rPr>
        <w:t xml:space="preserve"> </w:t>
      </w:r>
      <w:r w:rsidRPr="00401BD0">
        <w:rPr>
          <w:lang w:val="fr-CH"/>
        </w:rPr>
        <w:t>sans échange de quotas d’émissions» concrétise la pratique de l’OFEV en sa qualité d’autorité d’exécution pour l’élaboration des propositions d’objectifs servant de base à l’exemption de la taxe. Les entreprises qui suivent la Communication peuvent partir du principe que leur demande est complète (cf. http://www.bafu.admin.ch/co2-abgabe/index.html?lang=fr → Exemption). L’analyse des potentiels est déterminante pour les entreprises avec un objectif d’émission (cf. chapitre 2.1 de la Communication) et pour celles avec un objectif fondé sur des mesures (cf. chapitre 2.3 de la Communication).</w:t>
      </w:r>
      <w:bookmarkEnd w:id="9"/>
    </w:p>
    <w:p w14:paraId="74572781" w14:textId="6525BCF0" w:rsidR="00595461" w:rsidRPr="00595461" w:rsidRDefault="00595461" w:rsidP="00FB28EB">
      <w:pPr>
        <w:spacing w:before="120"/>
        <w:rPr>
          <w:b/>
          <w:lang w:val="fr-CH"/>
        </w:rPr>
      </w:pPr>
      <w:r w:rsidRPr="00595461">
        <w:rPr>
          <w:b/>
          <w:lang w:val="fr-CH"/>
        </w:rPr>
        <w:t xml:space="preserve">Directive </w:t>
      </w:r>
      <w:r w:rsidR="000671AD">
        <w:rPr>
          <w:b/>
          <w:lang w:val="fr-CH"/>
        </w:rPr>
        <w:t>C</w:t>
      </w:r>
      <w:r w:rsidRPr="00595461">
        <w:rPr>
          <w:b/>
          <w:lang w:val="fr-CH"/>
        </w:rPr>
        <w:t xml:space="preserve">onventions d’objectifs </w:t>
      </w:r>
      <w:r w:rsidR="000671AD">
        <w:rPr>
          <w:b/>
          <w:lang w:val="fr-CH"/>
        </w:rPr>
        <w:t xml:space="preserve">conclues </w:t>
      </w:r>
      <w:r w:rsidRPr="00595461">
        <w:rPr>
          <w:b/>
          <w:lang w:val="fr-CH"/>
        </w:rPr>
        <w:t>avec la Confédération</w:t>
      </w:r>
      <w:r w:rsidR="000671AD">
        <w:rPr>
          <w:b/>
          <w:lang w:val="fr-CH"/>
        </w:rPr>
        <w:t xml:space="preserve"> et visant l’amélioration de l’efficacité énergétique</w:t>
      </w:r>
      <w:r w:rsidRPr="00595461">
        <w:rPr>
          <w:b/>
          <w:lang w:val="fr-CH"/>
        </w:rPr>
        <w:t xml:space="preserve"> (OFEN, 201</w:t>
      </w:r>
      <w:r w:rsidR="004E338D">
        <w:rPr>
          <w:b/>
          <w:lang w:val="fr-CH"/>
        </w:rPr>
        <w:t>4</w:t>
      </w:r>
      <w:r w:rsidRPr="00595461">
        <w:rPr>
          <w:b/>
          <w:lang w:val="fr-CH"/>
        </w:rPr>
        <w:t>):</w:t>
      </w:r>
    </w:p>
    <w:p w14:paraId="4E938636" w14:textId="7F5C295E" w:rsidR="00595461" w:rsidRPr="00595461" w:rsidRDefault="00595461" w:rsidP="00595461">
      <w:pPr>
        <w:rPr>
          <w:lang w:val="fr-CH"/>
        </w:rPr>
      </w:pPr>
      <w:r w:rsidRPr="00595461">
        <w:rPr>
          <w:lang w:val="fr-CH"/>
        </w:rPr>
        <w:t>Le guide pour l’analyse des potentiels est aussi conçu pour les entreprises qui se sont déjà engagées dans le cadre d’une convention conclue avec la Confédération à augmenter l’efficacité énergétique et à réduire les émissions conformément à la loi sur l’énergie et à l’art. 4, al. 3 de la loi sur CO</w:t>
      </w:r>
      <w:r w:rsidRPr="00595461">
        <w:rPr>
          <w:vertAlign w:val="subscript"/>
          <w:lang w:val="fr-CH"/>
        </w:rPr>
        <w:t>2</w:t>
      </w:r>
      <w:r w:rsidRPr="00595461">
        <w:rPr>
          <w:lang w:val="fr-CH"/>
        </w:rPr>
        <w:t>. Il convient de distinguer les conventions d’objectifs volontaires</w:t>
      </w:r>
      <w:r w:rsidR="000671AD">
        <w:rPr>
          <w:lang w:val="fr-CH"/>
        </w:rPr>
        <w:t xml:space="preserve">, les conventions d’objectifs </w:t>
      </w:r>
      <w:r w:rsidR="00E465B3">
        <w:rPr>
          <w:lang w:val="fr-CH"/>
        </w:rPr>
        <w:t xml:space="preserve">universelles </w:t>
      </w:r>
      <w:r w:rsidR="000671AD">
        <w:rPr>
          <w:lang w:val="fr-CH"/>
        </w:rPr>
        <w:t xml:space="preserve">visant à </w:t>
      </w:r>
      <w:r w:rsidR="003148BB">
        <w:rPr>
          <w:lang w:val="fr-CH"/>
        </w:rPr>
        <w:t>mettre</w:t>
      </w:r>
      <w:r w:rsidR="000671AD">
        <w:rPr>
          <w:lang w:val="fr-CH"/>
        </w:rPr>
        <w:t xml:space="preserve"> en œuvre </w:t>
      </w:r>
      <w:r w:rsidR="000671AD" w:rsidRPr="000671AD">
        <w:rPr>
          <w:lang w:val="fr-CH"/>
        </w:rPr>
        <w:t xml:space="preserve">l’article cantonal relatif aux gros consommateurs </w:t>
      </w:r>
      <w:r w:rsidR="000671AD">
        <w:rPr>
          <w:lang w:val="fr-CH"/>
        </w:rPr>
        <w:t>et</w:t>
      </w:r>
      <w:r w:rsidR="00E465B3">
        <w:rPr>
          <w:lang w:val="fr-CH"/>
        </w:rPr>
        <w:t xml:space="preserve"> les conventions d’objectifs</w:t>
      </w:r>
      <w:r w:rsidR="000671AD">
        <w:rPr>
          <w:lang w:val="fr-CH"/>
        </w:rPr>
        <w:t xml:space="preserve"> </w:t>
      </w:r>
      <w:r w:rsidR="003148BB">
        <w:rPr>
          <w:lang w:val="fr-CH"/>
        </w:rPr>
        <w:t>nécessaires</w:t>
      </w:r>
      <w:r w:rsidR="000671AD">
        <w:rPr>
          <w:lang w:val="fr-CH"/>
        </w:rPr>
        <w:t xml:space="preserve"> au remboursement du supplément</w:t>
      </w:r>
      <w:r w:rsidRPr="00595461">
        <w:rPr>
          <w:lang w:val="fr-CH"/>
        </w:rPr>
        <w:t>.</w:t>
      </w:r>
    </w:p>
    <w:p w14:paraId="0C909352" w14:textId="77777777" w:rsidR="00595461" w:rsidRPr="00595461" w:rsidRDefault="00595461" w:rsidP="00595461">
      <w:pPr>
        <w:rPr>
          <w:lang w:val="fr-CH"/>
        </w:rPr>
      </w:pPr>
      <w:r w:rsidRPr="00595461">
        <w:rPr>
          <w:lang w:val="fr-CH"/>
        </w:rPr>
        <w:t>Bien entendu, le guide pour l’analyse des potentiels peut aussi être utilisé par des entreprises et par des prestataires énergétiques qui introduisent un système de gestion de l’énergie sans y être obligées légalement et qui veulent s’en servir comme outil pour les aider à analyser leur consommation d’énergie.</w:t>
      </w:r>
    </w:p>
    <w:p w14:paraId="21707221" w14:textId="77777777" w:rsidR="00595461" w:rsidRPr="00B778F4" w:rsidRDefault="00595461" w:rsidP="000073BF">
      <w:pPr>
        <w:pStyle w:val="berschrift2"/>
        <w:rPr>
          <w:szCs w:val="21"/>
        </w:rPr>
      </w:pPr>
      <w:bookmarkStart w:id="10" w:name="_Toc354127692"/>
      <w:bookmarkStart w:id="11" w:name="_Toc421696261"/>
      <w:bookmarkStart w:id="12" w:name="_DV_C200"/>
      <w:r w:rsidRPr="00B778F4">
        <w:t>Simplifications</w:t>
      </w:r>
      <w:bookmarkEnd w:id="10"/>
      <w:bookmarkEnd w:id="11"/>
    </w:p>
    <w:p w14:paraId="71D71E72" w14:textId="77777777" w:rsidR="00595461" w:rsidRPr="00401BD0" w:rsidRDefault="00595461" w:rsidP="00595461">
      <w:pPr>
        <w:rPr>
          <w:lang w:val="fr-CH"/>
        </w:rPr>
      </w:pPr>
      <w:bookmarkStart w:id="13" w:name="_DV_C202"/>
      <w:bookmarkEnd w:id="12"/>
      <w:r w:rsidRPr="00401BD0">
        <w:rPr>
          <w:lang w:val="fr-CH"/>
        </w:rPr>
        <w:t xml:space="preserve">Selon la finalité de l’analyse des potentiels (cf. chapitre 1.1), d’autres exigences sont posées. Le tableau suivant présente quels chapitres du présent guide entrent en ligne de compte. Pour </w:t>
      </w:r>
      <w:r w:rsidRPr="00401BD0">
        <w:rPr>
          <w:lang w:val="fr-CH"/>
        </w:rPr>
        <w:lastRenderedPageBreak/>
        <w:t xml:space="preserve">l’exemption de la taxe sur le </w:t>
      </w:r>
      <w:r w:rsidR="004F1A25" w:rsidRPr="00A616B3">
        <w:rPr>
          <w:sz w:val="20"/>
          <w:szCs w:val="24"/>
          <w:lang w:val="fr-CH"/>
        </w:rPr>
        <w:t>CO</w:t>
      </w:r>
      <w:r w:rsidR="004F1A25" w:rsidRPr="004F1A25">
        <w:rPr>
          <w:sz w:val="20"/>
          <w:szCs w:val="24"/>
          <w:vertAlign w:val="subscript"/>
          <w:lang w:val="fr-CH"/>
        </w:rPr>
        <w:t>2</w:t>
      </w:r>
      <w:r w:rsidRPr="00401BD0">
        <w:rPr>
          <w:lang w:val="fr-CH"/>
        </w:rPr>
        <w:t xml:space="preserve">, il est possible, selon le modèle retenu (objectif d’émission ou objectif fondé sur des mesures), d’effectuer des simplifications concernant des chapitres entiers ou des champs des chapitres: ces simplifications sont indiquées dans le tableau en couleurs au chapitre 1.4.1. </w:t>
      </w:r>
      <w:bookmarkEnd w:id="13"/>
    </w:p>
    <w:p w14:paraId="64B80009" w14:textId="77777777" w:rsidR="00595461" w:rsidRPr="00401BD0" w:rsidRDefault="00595461" w:rsidP="00595461">
      <w:pPr>
        <w:rPr>
          <w:lang w:val="fr-CH"/>
        </w:rPr>
      </w:pPr>
      <w:bookmarkStart w:id="14" w:name="_DV_C203"/>
      <w:r w:rsidRPr="00401BD0">
        <w:rPr>
          <w:lang w:val="fr-CH"/>
        </w:rPr>
        <w:t xml:space="preserve">Le présent guide pour l’analyse des potentiels est conçu pour une entreprise située sur un seul site de production. Au sens de l’art. 31, al 1, let. b de la loi sur le </w:t>
      </w:r>
      <w:r w:rsidR="004F1A25" w:rsidRPr="00A616B3">
        <w:rPr>
          <w:sz w:val="20"/>
          <w:szCs w:val="24"/>
          <w:lang w:val="fr-CH"/>
        </w:rPr>
        <w:t>CO</w:t>
      </w:r>
      <w:r w:rsidR="004F1A25" w:rsidRPr="004F1A25">
        <w:rPr>
          <w:sz w:val="20"/>
          <w:szCs w:val="24"/>
          <w:vertAlign w:val="subscript"/>
          <w:lang w:val="fr-CH"/>
        </w:rPr>
        <w:t>2</w:t>
      </w:r>
      <w:r w:rsidRPr="00401BD0">
        <w:rPr>
          <w:lang w:val="fr-CH"/>
        </w:rPr>
        <w:t xml:space="preserve">, une entreprise comprend une ou plusieurs installations stationnaires techniquement reliées qui se trouvent sur le même site de production. </w:t>
      </w:r>
    </w:p>
    <w:p w14:paraId="01E64698" w14:textId="0DABFA3B" w:rsidR="00595461" w:rsidRPr="00401BD0" w:rsidRDefault="00595461" w:rsidP="00595461">
      <w:pPr>
        <w:rPr>
          <w:lang w:val="fr-CH"/>
        </w:rPr>
      </w:pPr>
      <w:bookmarkStart w:id="15" w:name="_DV_X184"/>
      <w:bookmarkStart w:id="16" w:name="_DV_C205"/>
      <w:bookmarkEnd w:id="14"/>
      <w:r w:rsidRPr="00401BD0">
        <w:rPr>
          <w:lang w:val="fr-CH"/>
        </w:rPr>
        <w:t xml:space="preserve">La Communication de l’OFEV «Exemption de la taxe sur le </w:t>
      </w:r>
      <w:r w:rsidR="004F1A25" w:rsidRPr="00A616B3">
        <w:rPr>
          <w:sz w:val="20"/>
          <w:szCs w:val="24"/>
          <w:lang w:val="fr-CH"/>
        </w:rPr>
        <w:t>CO</w:t>
      </w:r>
      <w:r w:rsidR="004F1A25" w:rsidRPr="004F1A25">
        <w:rPr>
          <w:sz w:val="20"/>
          <w:szCs w:val="24"/>
          <w:vertAlign w:val="subscript"/>
          <w:lang w:val="fr-CH"/>
        </w:rPr>
        <w:t>2</w:t>
      </w:r>
      <w:r w:rsidR="004F1A25">
        <w:rPr>
          <w:sz w:val="20"/>
          <w:szCs w:val="24"/>
          <w:vertAlign w:val="subscript"/>
          <w:lang w:val="fr-CH"/>
        </w:rPr>
        <w:t xml:space="preserve"> </w:t>
      </w:r>
      <w:r w:rsidRPr="00401BD0">
        <w:rPr>
          <w:lang w:val="fr-CH"/>
        </w:rPr>
        <w:t>sans échange de quotas d’émissions» (chapitre 2) précise les simplifications pour les entreprises réparties sur plusieurs sites de production</w:t>
      </w:r>
      <w:bookmarkStart w:id="17" w:name="_DV_C206"/>
      <w:bookmarkEnd w:id="15"/>
      <w:bookmarkEnd w:id="16"/>
      <w:r w:rsidRPr="00401BD0">
        <w:rPr>
          <w:lang w:val="fr-CH"/>
        </w:rPr>
        <w:t>.</w:t>
      </w:r>
      <w:bookmarkEnd w:id="17"/>
      <w:r w:rsidR="000671AD">
        <w:rPr>
          <w:lang w:val="fr-CH"/>
        </w:rPr>
        <w:t xml:space="preserve"> Celles-ci s’appliquent aussi pour les conventions d’objectifs universelles et les conventions d’objectifs </w:t>
      </w:r>
      <w:r w:rsidR="003148BB">
        <w:rPr>
          <w:lang w:val="fr-CH"/>
        </w:rPr>
        <w:t>nécessaires</w:t>
      </w:r>
      <w:r w:rsidR="000671AD">
        <w:rPr>
          <w:lang w:val="fr-CH"/>
        </w:rPr>
        <w:t xml:space="preserve"> au remboursement du supplément.</w:t>
      </w:r>
    </w:p>
    <w:p w14:paraId="7A2EE937" w14:textId="77777777" w:rsidR="0062647B" w:rsidRPr="00401BD0" w:rsidRDefault="0062647B" w:rsidP="00595461">
      <w:pPr>
        <w:rPr>
          <w:lang w:val="fr-CH"/>
        </w:rPr>
      </w:pPr>
    </w:p>
    <w:p w14:paraId="74B5E56E" w14:textId="76CA9BA8" w:rsidR="00CA0F7A" w:rsidRDefault="001F6E01" w:rsidP="00CA0F7A">
      <w:r w:rsidRPr="00401BD0">
        <w:rPr>
          <w:lang w:val="fr-CH"/>
        </w:rPr>
        <w:br w:type="page"/>
      </w:r>
      <w:r w:rsidR="00677217" w:rsidRPr="00677217">
        <w:rPr>
          <w:noProof/>
          <w:lang w:eastAsia="de-CH"/>
        </w:rPr>
        <w:lastRenderedPageBreak/>
        <w:drawing>
          <wp:inline distT="0" distB="0" distL="0" distR="0" wp14:anchorId="7208C80C" wp14:editId="3F1DD6EA">
            <wp:extent cx="6375600" cy="92592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5600" cy="9259200"/>
                    </a:xfrm>
                    <a:prstGeom prst="rect">
                      <a:avLst/>
                    </a:prstGeom>
                    <a:noFill/>
                    <a:ln>
                      <a:noFill/>
                    </a:ln>
                  </pic:spPr>
                </pic:pic>
              </a:graphicData>
            </a:graphic>
          </wp:inline>
        </w:drawing>
      </w:r>
      <w:r w:rsidR="00CA0F7A">
        <w:br w:type="page"/>
      </w:r>
    </w:p>
    <w:p w14:paraId="012FA6E0" w14:textId="51EE096F" w:rsidR="00CA0F7A" w:rsidRDefault="00677217" w:rsidP="00CA0F7A">
      <w:r w:rsidRPr="00677217">
        <w:rPr>
          <w:noProof/>
          <w:lang w:eastAsia="de-CH"/>
        </w:rPr>
        <w:lastRenderedPageBreak/>
        <w:drawing>
          <wp:inline distT="0" distB="0" distL="0" distR="0" wp14:anchorId="2F70C3AC" wp14:editId="6435D033">
            <wp:extent cx="6379200" cy="8197200"/>
            <wp:effectExtent l="0" t="0" r="3175" b="0"/>
            <wp:docPr id="2050" name="Grafik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9200" cy="8197200"/>
                    </a:xfrm>
                    <a:prstGeom prst="rect">
                      <a:avLst/>
                    </a:prstGeom>
                    <a:noFill/>
                    <a:ln>
                      <a:noFill/>
                    </a:ln>
                  </pic:spPr>
                </pic:pic>
              </a:graphicData>
            </a:graphic>
          </wp:inline>
        </w:drawing>
      </w:r>
    </w:p>
    <w:p w14:paraId="1C2180DF" w14:textId="77777777" w:rsidR="00CA0F7A" w:rsidRPr="002C357A" w:rsidRDefault="00CA0F7A" w:rsidP="00CA0F7A">
      <w:pPr>
        <w:rPr>
          <w:lang w:val="fr-CH"/>
        </w:rPr>
      </w:pPr>
    </w:p>
    <w:p w14:paraId="4C59A5E8" w14:textId="77777777" w:rsidR="00CA0F7A" w:rsidRPr="002C357A" w:rsidRDefault="00CA0F7A" w:rsidP="00CA0F7A">
      <w:pPr>
        <w:rPr>
          <w:lang w:val="fr-CH"/>
        </w:rPr>
      </w:pPr>
    </w:p>
    <w:p w14:paraId="263E91C8" w14:textId="77777777" w:rsidR="00B83D8B" w:rsidRDefault="00CA0F7A" w:rsidP="000073BF">
      <w:pPr>
        <w:pStyle w:val="berschrift2"/>
      </w:pPr>
      <w:r>
        <w:br w:type="page"/>
      </w:r>
      <w:bookmarkStart w:id="18" w:name="_Toc347303562"/>
      <w:bookmarkStart w:id="19" w:name="_Toc347853247"/>
      <w:bookmarkStart w:id="20" w:name="_Toc354127693"/>
      <w:bookmarkStart w:id="21" w:name="_Toc421696262"/>
      <w:r w:rsidR="00B83D8B" w:rsidRPr="00B778F4">
        <w:lastRenderedPageBreak/>
        <w:t>But des différents chapitres</w:t>
      </w:r>
      <w:bookmarkEnd w:id="18"/>
      <w:bookmarkEnd w:id="19"/>
      <w:bookmarkEnd w:id="20"/>
      <w:bookmarkEnd w:id="21"/>
    </w:p>
    <w:p w14:paraId="496B7561" w14:textId="669A6F1B" w:rsidR="00F65A08" w:rsidRPr="004B35A3" w:rsidRDefault="00F65A08" w:rsidP="00F65A08">
      <w:pPr>
        <w:rPr>
          <w:lang w:val="fr-CH"/>
        </w:rPr>
      </w:pPr>
      <w:r w:rsidRPr="004B35A3">
        <w:rPr>
          <w:lang w:val="fr-CH"/>
        </w:rPr>
        <w:t xml:space="preserve">Les chapitres suivants </w:t>
      </w:r>
      <w:r>
        <w:rPr>
          <w:lang w:val="fr-CH"/>
        </w:rPr>
        <w:t>prétendent démontrer comment procéder de manière systématique à une analyse de potentiel de l’entreprise. En suivant ce guide, on peut partir du principe que l’analyse de potentiel est complète.</w:t>
      </w:r>
    </w:p>
    <w:p w14:paraId="3A82EE45" w14:textId="19AB5F4F" w:rsidR="00B83D8B" w:rsidRPr="00B83D8B" w:rsidRDefault="00B83D8B" w:rsidP="00B83D8B">
      <w:pPr>
        <w:rPr>
          <w:lang w:val="fr-CH"/>
        </w:rPr>
      </w:pPr>
      <w:r w:rsidRPr="00B83D8B">
        <w:rPr>
          <w:lang w:val="fr-CH"/>
        </w:rPr>
        <w:t xml:space="preserve">Au chapitre </w:t>
      </w:r>
      <w:r w:rsidRPr="00B83D8B">
        <w:rPr>
          <w:b/>
          <w:lang w:val="fr-CH"/>
        </w:rPr>
        <w:t xml:space="preserve">Situation de départ, </w:t>
      </w:r>
      <w:r w:rsidRPr="00B83D8B">
        <w:rPr>
          <w:lang w:val="fr-CH"/>
        </w:rPr>
        <w:t>on</w:t>
      </w:r>
      <w:r w:rsidRPr="00B83D8B">
        <w:rPr>
          <w:b/>
          <w:lang w:val="fr-CH"/>
        </w:rPr>
        <w:t xml:space="preserve"> </w:t>
      </w:r>
      <w:r w:rsidRPr="00B83D8B">
        <w:rPr>
          <w:lang w:val="fr-CH"/>
        </w:rPr>
        <w:t xml:space="preserve">esquisse l’évolution de l’entreprise, on documente les mesures de réduction des émissions de gaz à effet de serre et d’économie d’énergie déjà réalisées et on donne un aperçu de l’évolution de l’exploitation. Il est important de bien comprendre la situation de départ pour trouver des mesures qui pourront être réalisées par la suite. Il n’est pas rare que l’on découvre ainsi des points à améliorer dans le fonctionnement des installations. Enfin, il est utile de connaître les modifications prévues de procédés ou les projets de transformation pour identifier suffisamment tôt les futurs potentiels de réduction des émissions de gaz à effet de serre et d’économie d’énergie. </w:t>
      </w:r>
    </w:p>
    <w:p w14:paraId="4BFB9359" w14:textId="77777777" w:rsidR="00B83D8B" w:rsidRPr="00B83D8B" w:rsidRDefault="00B83D8B" w:rsidP="00B83D8B">
      <w:pPr>
        <w:rPr>
          <w:lang w:val="fr-CH"/>
        </w:rPr>
      </w:pPr>
      <w:r w:rsidRPr="00B83D8B">
        <w:rPr>
          <w:lang w:val="fr-CH"/>
        </w:rPr>
        <w:t xml:space="preserve">Au chapitre </w:t>
      </w:r>
      <w:r w:rsidRPr="00B83D8B">
        <w:rPr>
          <w:b/>
          <w:lang w:val="fr-CH"/>
        </w:rPr>
        <w:t>Bases Rentabilité et énergie</w:t>
      </w:r>
      <w:r w:rsidRPr="00B83D8B">
        <w:rPr>
          <w:lang w:val="fr-CH"/>
        </w:rPr>
        <w:t xml:space="preserve">, on indique, à des fins de compréhension, les principales énergies avec leur facteur d’émissions. Des tableaux de conversion facilitent la saisie. Les prix de l’énergie, le calcul du retour sur investissement et les critères d’évaluation de la rentabilité de mesures relatives aux procédés et aux infrastructures sont également déterminés. En outre, ce chapitre donne la possibilité de définir de nouveaux combustibles s’ils ne figurent pas encore sur la liste. </w:t>
      </w:r>
    </w:p>
    <w:p w14:paraId="0D50A5B6" w14:textId="100B5A44" w:rsidR="00B83D8B" w:rsidRPr="00B83D8B" w:rsidRDefault="00B83D8B" w:rsidP="00B83D8B">
      <w:pPr>
        <w:rPr>
          <w:lang w:val="fr-CH"/>
        </w:rPr>
      </w:pPr>
      <w:r w:rsidRPr="00B83D8B">
        <w:rPr>
          <w:lang w:val="fr-CH"/>
        </w:rPr>
        <w:t xml:space="preserve">Au chapitre </w:t>
      </w:r>
      <w:r w:rsidRPr="00B83D8B">
        <w:rPr>
          <w:b/>
          <w:lang w:val="fr-CH"/>
        </w:rPr>
        <w:t xml:space="preserve">Historique, </w:t>
      </w:r>
      <w:r w:rsidRPr="00B83D8B">
        <w:rPr>
          <w:lang w:val="fr-CH"/>
        </w:rPr>
        <w:t>on saisit les énergies finales utilisées dans l’entreprise les deux dernières années. Les entreprises avec une convention d’objectif</w:t>
      </w:r>
      <w:r w:rsidR="00282100">
        <w:rPr>
          <w:lang w:val="fr-CH"/>
        </w:rPr>
        <w:t>s</w:t>
      </w:r>
      <w:r w:rsidRPr="00B83D8B">
        <w:rPr>
          <w:lang w:val="fr-CH"/>
        </w:rPr>
        <w:t xml:space="preserve"> ou une exemption de la taxe à partir de 2013 doivent saisir les années 2010 et 2011. </w:t>
      </w:r>
      <w:r w:rsidR="00D44FD5">
        <w:rPr>
          <w:lang w:val="fr-CH"/>
        </w:rPr>
        <w:t xml:space="preserve">Dans la présente publication, l’année 2013 est utilisée </w:t>
      </w:r>
      <w:r w:rsidR="00D44FD5" w:rsidRPr="00DF4432">
        <w:rPr>
          <w:lang w:val="fr-CH"/>
        </w:rPr>
        <w:t>à titre d’exemple pour</w:t>
      </w:r>
      <w:r w:rsidR="00D44FD5">
        <w:rPr>
          <w:lang w:val="fr-CH"/>
        </w:rPr>
        <w:t xml:space="preserve"> toutes </w:t>
      </w:r>
      <w:r w:rsidR="00D44FD5" w:rsidRPr="00B26CAF">
        <w:rPr>
          <w:lang w:val="fr-CH"/>
        </w:rPr>
        <w:t>les périodes d’exemption</w:t>
      </w:r>
      <w:r w:rsidR="00D44FD5">
        <w:rPr>
          <w:lang w:val="fr-CH"/>
        </w:rPr>
        <w:t xml:space="preserve"> possibles</w:t>
      </w:r>
      <w:r w:rsidR="00E875FD">
        <w:rPr>
          <w:lang w:val="fr-CH"/>
        </w:rPr>
        <w:t xml:space="preserve">. Si une autre année d’exemption X est choisie, les </w:t>
      </w:r>
      <w:r w:rsidR="00E875FD" w:rsidRPr="00DF4432">
        <w:rPr>
          <w:lang w:val="fr-CH"/>
        </w:rPr>
        <w:t xml:space="preserve">années </w:t>
      </w:r>
      <w:r w:rsidR="003B2C7D" w:rsidRPr="00DF4432">
        <w:rPr>
          <w:lang w:val="fr-CH"/>
        </w:rPr>
        <w:t>initiales</w:t>
      </w:r>
      <w:r w:rsidR="00E875FD">
        <w:rPr>
          <w:lang w:val="fr-CH"/>
        </w:rPr>
        <w:t xml:space="preserve"> sont les années X-3 et X-2.</w:t>
      </w:r>
      <w:r w:rsidR="00C60DE7">
        <w:rPr>
          <w:lang w:val="fr-CH"/>
        </w:rPr>
        <w:t xml:space="preserve"> Pour les conventions d’objectifs avec ou sans remboursement du supplément, soit les années </w:t>
      </w:r>
      <w:r w:rsidR="003B2C7D">
        <w:rPr>
          <w:lang w:val="fr-CH"/>
        </w:rPr>
        <w:t>initiales</w:t>
      </w:r>
      <w:r w:rsidR="00C60DE7">
        <w:rPr>
          <w:lang w:val="fr-CH"/>
        </w:rPr>
        <w:t xml:space="preserve"> sont celles mentionné</w:t>
      </w:r>
      <w:r w:rsidR="003B2C7D">
        <w:rPr>
          <w:lang w:val="fr-CH"/>
        </w:rPr>
        <w:t>e</w:t>
      </w:r>
      <w:r w:rsidR="00B26CAF">
        <w:rPr>
          <w:lang w:val="fr-CH"/>
        </w:rPr>
        <w:t xml:space="preserve"> ci-dessus, </w:t>
      </w:r>
      <w:r w:rsidR="00C60DE7">
        <w:rPr>
          <w:lang w:val="fr-CH"/>
        </w:rPr>
        <w:t xml:space="preserve">soit l’année </w:t>
      </w:r>
      <w:r w:rsidR="003B2C7D">
        <w:rPr>
          <w:lang w:val="fr-CH"/>
        </w:rPr>
        <w:t xml:space="preserve">initiale </w:t>
      </w:r>
      <w:r w:rsidR="00C60DE7">
        <w:rPr>
          <w:lang w:val="fr-CH"/>
        </w:rPr>
        <w:t xml:space="preserve">est l’année complète précédant la conclusion de la convention. Le formulaire ad hoc offre la possibilité de choisir l’année </w:t>
      </w:r>
      <w:r w:rsidR="00FB24D5">
        <w:rPr>
          <w:lang w:val="fr-CH"/>
        </w:rPr>
        <w:t>initiale</w:t>
      </w:r>
      <w:r w:rsidR="00C60DE7">
        <w:rPr>
          <w:lang w:val="fr-CH"/>
        </w:rPr>
        <w:t xml:space="preserve">. Dans le formulaire, les dates s’adaptent automatiquement. </w:t>
      </w:r>
      <w:r w:rsidRPr="00B83D8B">
        <w:rPr>
          <w:lang w:val="fr-CH"/>
        </w:rPr>
        <w:t xml:space="preserve">Il faut effectuer le relevé si possible tous les mois: ce n’est qu’ainsi qu’il est possible de déduire l’évolution de la consommation d’énergie des indicateurs de la consommation d’énergie (p. ex. de la quantité de produits fabriqués par mois). En outre, un relevé mensuel donne une bonne idée de l’influence du chauffage du bâtiment, d’autres fluctuations saisonnières ou de contraintes conjoncturelles sur la consommation d’énergie totale. Les émissions par énergie sont calculées automatiquement. </w:t>
      </w:r>
    </w:p>
    <w:p w14:paraId="69F1EB91" w14:textId="289CC151" w:rsidR="00B83D8B" w:rsidRPr="00B83D8B" w:rsidRDefault="00B83D8B" w:rsidP="00B83D8B">
      <w:pPr>
        <w:rPr>
          <w:lang w:val="fr-CH"/>
        </w:rPr>
      </w:pPr>
      <w:r w:rsidRPr="00B83D8B">
        <w:rPr>
          <w:lang w:val="fr-CH"/>
        </w:rPr>
        <w:t xml:space="preserve">Au chapitre </w:t>
      </w:r>
      <w:r w:rsidRPr="00B83D8B">
        <w:rPr>
          <w:b/>
          <w:lang w:val="fr-CH"/>
        </w:rPr>
        <w:t>Saisie de l’état actuel</w:t>
      </w:r>
      <w:r w:rsidRPr="00B83D8B">
        <w:rPr>
          <w:lang w:val="fr-CH"/>
        </w:rPr>
        <w:t>, on dresse ensuite la situation énergétique actuelle au sein de l’entreprise. Si tous les tableaux contenus dans le chapitre précédent sont remplis, on dispose en général de toutes les bases pour établir un diagramme de Sankey (diagramme des flux d’énergie). L’élaboration d’un diagramme de Sankey n’engage à rien mais peut s’avérer très utile. Les tableaux figurant dans ce chapitre donnent une très bonne situation de départ en vue de l’introduction d’une gestion simple de l’énergie. Ce chapitre contient notamment les aides suivantes: détermination de la consommation d’énergie utile à partir de la consommation d’énergie finale et de la production d’énergie utilisée, tableaux auxiliaires pour faire l’inventaire de toutes les machines frigorifiques, pompes à chaleur et compresseurs à air comprimé, aides de calcul pour évaluer le potentiel de chaleur rejeté par les machines frigorifiques ou par les compresseurs à air comprimé et aides pour évaluer la consommation mensuelle d’énergie de chauffage. Le travail qui sera effectué dans ce chapitre sera encore très utile à l’entreprise les années suivantes!</w:t>
      </w:r>
    </w:p>
    <w:p w14:paraId="00E6F937" w14:textId="77777777" w:rsidR="00B83D8B" w:rsidRPr="00B83D8B" w:rsidRDefault="00B83D8B" w:rsidP="00B83D8B">
      <w:pPr>
        <w:rPr>
          <w:lang w:val="fr-CH"/>
        </w:rPr>
      </w:pPr>
      <w:r w:rsidRPr="00B83D8B">
        <w:rPr>
          <w:lang w:val="fr-CH"/>
        </w:rPr>
        <w:t xml:space="preserve">En effet, une bonne connaissance des flux d’énergie et des sources de gaz à effet de serre au sein de l’entreprise est indispensable pour élaborer des mesures ciblées. Ce n’est qu’ainsi qu’il est possible de s’assurer que l’on misera sur les plus grands potentiels et que l’on identifiera les mesures rentables. </w:t>
      </w:r>
    </w:p>
    <w:p w14:paraId="37F356CC" w14:textId="20B11AA4" w:rsidR="00B83D8B" w:rsidRPr="00B83D8B" w:rsidRDefault="00B83D8B" w:rsidP="00B83D8B">
      <w:pPr>
        <w:rPr>
          <w:lang w:val="fr-CH"/>
        </w:rPr>
      </w:pPr>
      <w:r w:rsidRPr="00B83D8B">
        <w:rPr>
          <w:lang w:val="fr-CH"/>
        </w:rPr>
        <w:lastRenderedPageBreak/>
        <w:t xml:space="preserve">C’est le but du chapitre </w:t>
      </w:r>
      <w:r w:rsidRPr="00B83D8B">
        <w:rPr>
          <w:b/>
          <w:lang w:val="fr-CH"/>
        </w:rPr>
        <w:t>Analyse de l’état actuel et optimisation de l’énergie</w:t>
      </w:r>
      <w:r w:rsidRPr="00B83D8B">
        <w:rPr>
          <w:lang w:val="fr-CH"/>
        </w:rPr>
        <w:t xml:space="preserve"> où l’on doit élaborer et décrire des mesures d’économie. Ce chapitre propose aussi une sélection de guides et d’outils en ligne qui ont fait leurs preuves. La liste de ces moyens auxiliaires sera complétée au fur et à mesure ces prochaines années</w:t>
      </w:r>
      <w:r w:rsidRPr="00B83D8B">
        <w:rPr>
          <w:color w:val="FF0000"/>
          <w:lang w:val="fr-CH"/>
        </w:rPr>
        <w:t xml:space="preserve"> </w:t>
      </w:r>
      <w:r w:rsidRPr="00B83D8B">
        <w:rPr>
          <w:lang w:val="fr-CH"/>
        </w:rPr>
        <w:t>(</w:t>
      </w:r>
      <w:hyperlink r:id="rId15" w:history="1">
        <w:r w:rsidRPr="00B83D8B">
          <w:rPr>
            <w:rStyle w:val="Hyperlink"/>
            <w:lang w:val="fr-CH"/>
          </w:rPr>
          <w:t>http://www.suisseenergie.ch/fr-ch/entreprises/solutions-par-branches.aspx</w:t>
        </w:r>
      </w:hyperlink>
      <w:r w:rsidRPr="00B83D8B">
        <w:rPr>
          <w:lang w:val="fr-CH"/>
        </w:rPr>
        <w:t>)</w:t>
      </w:r>
      <w:r w:rsidR="00F15E69">
        <w:rPr>
          <w:lang w:val="fr-CH"/>
        </w:rPr>
        <w:t>.</w:t>
      </w:r>
    </w:p>
    <w:p w14:paraId="0D55A336" w14:textId="4557D3BA" w:rsidR="00B83D8B" w:rsidRPr="00B83D8B" w:rsidRDefault="00B83D8B" w:rsidP="00B83D8B">
      <w:pPr>
        <w:rPr>
          <w:lang w:val="fr-CH"/>
        </w:rPr>
      </w:pPr>
      <w:r w:rsidRPr="00B83D8B">
        <w:rPr>
          <w:lang w:val="fr-CH"/>
        </w:rPr>
        <w:t>Certaines des informations qui sont demandées dans le guide pour l’analyse des potentiels ne présentent aucun engagement pour une demande d’exemption de la taxe sur le CO</w:t>
      </w:r>
      <w:r w:rsidRPr="00B83D8B">
        <w:rPr>
          <w:vertAlign w:val="subscript"/>
          <w:lang w:val="fr-CH"/>
        </w:rPr>
        <w:t>2</w:t>
      </w:r>
      <w:r w:rsidR="00CF38D8">
        <w:rPr>
          <w:lang w:val="fr-CH"/>
        </w:rPr>
        <w:t xml:space="preserve"> ou pour le remboursement du supplément.</w:t>
      </w:r>
      <w:r w:rsidRPr="00B83D8B">
        <w:rPr>
          <w:lang w:val="fr-CH"/>
        </w:rPr>
        <w:t xml:space="preserve"> Il est cependant recommandé de remplir le plus exhaustivement possible les différents chapitres, aussi afin de diminuer les demandes de précision. De cette façon, le guide pour l’analyse des potentiels sera aussi très utile à l’entreprise les années suivantes et facilitera l’introduction d’un système de gestion de l’énergie. </w:t>
      </w:r>
    </w:p>
    <w:p w14:paraId="2962F80E" w14:textId="77777777" w:rsidR="00B83D8B" w:rsidRPr="00B83D8B" w:rsidRDefault="00B83D8B" w:rsidP="00B83D8B">
      <w:pPr>
        <w:rPr>
          <w:lang w:val="fr-CH"/>
        </w:rPr>
      </w:pPr>
      <w:r w:rsidRPr="00B83D8B">
        <w:rPr>
          <w:lang w:val="fr-CH"/>
        </w:rPr>
        <w:t>Enfin, une analyse approfondie et complète de l’état actuel est une condition essentielle pour identifier les mesures d’économie d’énergie et de réduction des émissions de gaz à effet de serre qui sont rentables. Le travail fourni sera donc rapidement remboursé non seulement par l’exemption de la taxe sur le CO</w:t>
      </w:r>
      <w:r w:rsidRPr="00B83D8B">
        <w:rPr>
          <w:vertAlign w:val="subscript"/>
          <w:lang w:val="fr-CH"/>
        </w:rPr>
        <w:t>2</w:t>
      </w:r>
      <w:r w:rsidRPr="00B83D8B">
        <w:rPr>
          <w:lang w:val="fr-CH"/>
        </w:rPr>
        <w:t xml:space="preserve"> mais aussi et surtout par les économies qui seront réalisées sur les coûts de l’énergie.</w:t>
      </w:r>
    </w:p>
    <w:p w14:paraId="54D2F5B8" w14:textId="3CB16FF1" w:rsidR="00B83D8B" w:rsidRPr="00B83D8B" w:rsidRDefault="00B83D8B" w:rsidP="00CF38D8">
      <w:pPr>
        <w:rPr>
          <w:lang w:val="fr-CH"/>
        </w:rPr>
      </w:pPr>
      <w:r w:rsidRPr="00B83D8B">
        <w:rPr>
          <w:lang w:val="fr-CH"/>
        </w:rPr>
        <w:t>Le but du présent guide pour l’analyse des potentiels est de documenter l’état de la technique utilisée dans l’entreprise et d’identifier le potentiel de réduction supplémentaire conformément aux art. 67 et 68 de l’ordonnance sur le CO</w:t>
      </w:r>
      <w:r w:rsidRPr="00B83D8B">
        <w:rPr>
          <w:vertAlign w:val="subscript"/>
          <w:lang w:val="fr-CH"/>
        </w:rPr>
        <w:t>2</w:t>
      </w:r>
      <w:r w:rsidR="00CF38D8">
        <w:rPr>
          <w:lang w:val="fr-CH"/>
        </w:rPr>
        <w:t xml:space="preserve"> ou à la directive </w:t>
      </w:r>
      <w:r w:rsidR="00CF38D8" w:rsidRPr="00CF38D8">
        <w:rPr>
          <w:lang w:val="fr-CH"/>
        </w:rPr>
        <w:t>Conventions d’objectifs conclue avec la Confédération et visant l’amélioration de l’efficacité énergétique</w:t>
      </w:r>
      <w:r w:rsidR="00CF38D8">
        <w:rPr>
          <w:lang w:val="fr-CH"/>
        </w:rPr>
        <w:t xml:space="preserve"> (chap. 3.3.2). </w:t>
      </w:r>
    </w:p>
    <w:p w14:paraId="3C297C5F" w14:textId="77777777" w:rsidR="00B83D8B" w:rsidRDefault="00B83D8B" w:rsidP="00B83D8B">
      <w:pPr>
        <w:rPr>
          <w:lang w:val="fr-CH"/>
        </w:rPr>
      </w:pPr>
      <w:r w:rsidRPr="00B83D8B">
        <w:rPr>
          <w:lang w:val="fr-CH"/>
        </w:rPr>
        <w:t>Pour une entreprise qui s’engage à réduire ses émissions de gaz à effets de serre, l’analyse des potentiels fait partie intégrante de la demande d’exemption de la taxe sur le CO</w:t>
      </w:r>
      <w:r w:rsidRPr="00B83D8B">
        <w:rPr>
          <w:vertAlign w:val="subscript"/>
          <w:lang w:val="fr-CH"/>
        </w:rPr>
        <w:t xml:space="preserve">2 </w:t>
      </w:r>
      <w:r w:rsidRPr="00B83D8B">
        <w:rPr>
          <w:lang w:val="fr-CH"/>
        </w:rPr>
        <w:t>qui doit être remise à l’OFEV. L’entreprise doit se servir du présent guide si elle n’utilise pas pour définir ses objectifs une application intégrant par défaut une analyse des potentiels. L’OFEV accorde une prolongation de délai pour la remise de la proposition d’objectif et, par conséquent, aussi pour l’analyse des potentiels, aux entreprises au bénéfice d’une exemption de la taxe sur le CO</w:t>
      </w:r>
      <w:r w:rsidRPr="00B83D8B">
        <w:rPr>
          <w:vertAlign w:val="subscript"/>
          <w:lang w:val="fr-CH"/>
        </w:rPr>
        <w:t xml:space="preserve">2 </w:t>
      </w:r>
      <w:r w:rsidRPr="00B83D8B">
        <w:rPr>
          <w:lang w:val="fr-CH"/>
        </w:rPr>
        <w:t>à partir de 2013.</w:t>
      </w:r>
    </w:p>
    <w:p w14:paraId="1E950AE7" w14:textId="173999A0" w:rsidR="00AC6CC4" w:rsidRPr="00B83D8B" w:rsidRDefault="00CF38D8" w:rsidP="00AC6CC4">
      <w:pPr>
        <w:rPr>
          <w:lang w:val="fr-CH"/>
        </w:rPr>
      </w:pPr>
      <w:r>
        <w:rPr>
          <w:lang w:val="fr-CH"/>
        </w:rPr>
        <w:t xml:space="preserve">Comme les demandes de remboursement du supplément s’effectuent toujours par l’intermédiaire d’une organisation mandatée par l’OFEN (act ou </w:t>
      </w:r>
      <w:r w:rsidRPr="00CF38D8">
        <w:rPr>
          <w:lang w:val="fr-CH"/>
        </w:rPr>
        <w:t>AEnEc</w:t>
      </w:r>
      <w:r>
        <w:rPr>
          <w:lang w:val="fr-CH"/>
        </w:rPr>
        <w:t xml:space="preserve">), une entreprise ne peut </w:t>
      </w:r>
      <w:r w:rsidR="00831CA2">
        <w:rPr>
          <w:lang w:val="fr-CH"/>
        </w:rPr>
        <w:t xml:space="preserve">pas </w:t>
      </w:r>
      <w:r>
        <w:rPr>
          <w:lang w:val="fr-CH"/>
        </w:rPr>
        <w:t>déposer une demande sur la base du présent guide. Les exigences du présent guide doivent cependant être prise</w:t>
      </w:r>
      <w:r w:rsidR="00AC6CC4">
        <w:rPr>
          <w:lang w:val="fr-CH"/>
        </w:rPr>
        <w:t>s</w:t>
      </w:r>
      <w:r>
        <w:rPr>
          <w:lang w:val="fr-CH"/>
        </w:rPr>
        <w:t xml:space="preserve"> en compte dans </w:t>
      </w:r>
      <w:r w:rsidR="00AC6CC4" w:rsidRPr="00DF4432">
        <w:rPr>
          <w:lang w:val="fr-CH"/>
        </w:rPr>
        <w:t xml:space="preserve">les applications </w:t>
      </w:r>
      <w:r w:rsidR="00486BB0" w:rsidRPr="00CF5A8D">
        <w:rPr>
          <w:lang w:val="fr-CH"/>
        </w:rPr>
        <w:t xml:space="preserve">utilisées par </w:t>
      </w:r>
      <w:r w:rsidR="00AC6CC4" w:rsidRPr="00DF4432">
        <w:rPr>
          <w:lang w:val="fr-CH"/>
        </w:rPr>
        <w:t>les organisations</w:t>
      </w:r>
      <w:r w:rsidR="00AC6CC4">
        <w:rPr>
          <w:lang w:val="fr-CH"/>
        </w:rPr>
        <w:t>.</w:t>
      </w:r>
    </w:p>
    <w:p w14:paraId="56CFF0D8" w14:textId="7E20510E" w:rsidR="00B83D8B" w:rsidRPr="00B83D8B" w:rsidRDefault="00B83D8B" w:rsidP="00B83D8B">
      <w:pPr>
        <w:rPr>
          <w:lang w:val="fr-CH"/>
        </w:rPr>
      </w:pPr>
      <w:r w:rsidRPr="00B83D8B">
        <w:rPr>
          <w:lang w:val="fr-CH"/>
        </w:rPr>
        <w:t>Des points de vues technique et opérationnel, le but de ce guide est de quantifier la consommation de différents consommateurs d’énergie et d’acquérir ainsi une solide connaissance des besoins des procédés et des flux d’énergie au sein de l’entreprise, de sensibiliser au thème de l’énergie, aux coûts et aux potentiels d’économie qui y sont liés.</w:t>
      </w:r>
    </w:p>
    <w:p w14:paraId="71CD27E4" w14:textId="77777777" w:rsidR="00B83D8B" w:rsidRPr="00401BD0" w:rsidRDefault="001F6E01" w:rsidP="000073BF">
      <w:pPr>
        <w:pStyle w:val="berschrift2"/>
      </w:pPr>
      <w:r w:rsidRPr="00AC4033">
        <w:br w:type="page"/>
      </w:r>
      <w:bookmarkStart w:id="22" w:name="_Toc347303563"/>
      <w:bookmarkStart w:id="23" w:name="_Toc347853248"/>
      <w:bookmarkStart w:id="24" w:name="_Toc354127694"/>
      <w:bookmarkStart w:id="25" w:name="_Toc421696263"/>
      <w:r w:rsidR="00B83D8B" w:rsidRPr="00401BD0">
        <w:lastRenderedPageBreak/>
        <w:t>Remplir l’analyse des potentiels</w:t>
      </w:r>
      <w:bookmarkEnd w:id="22"/>
      <w:bookmarkEnd w:id="23"/>
      <w:bookmarkEnd w:id="24"/>
      <w:bookmarkEnd w:id="25"/>
    </w:p>
    <w:p w14:paraId="66803DAE" w14:textId="77777777" w:rsidR="00B83D8B" w:rsidRPr="00401BD0" w:rsidRDefault="00B83D8B" w:rsidP="00401BD0">
      <w:pPr>
        <w:pStyle w:val="berschrift3"/>
      </w:pPr>
      <w:bookmarkStart w:id="26" w:name="_Toc347303564"/>
      <w:bookmarkStart w:id="27" w:name="_Toc347853249"/>
      <w:bookmarkStart w:id="28" w:name="_Toc354127695"/>
      <w:bookmarkStart w:id="29" w:name="_Toc421696264"/>
      <w:r w:rsidRPr="00401BD0">
        <w:t>Formulaires</w:t>
      </w:r>
      <w:bookmarkEnd w:id="26"/>
      <w:bookmarkEnd w:id="27"/>
      <w:bookmarkEnd w:id="28"/>
      <w:bookmarkEnd w:id="29"/>
    </w:p>
    <w:p w14:paraId="60CB23AF" w14:textId="77777777" w:rsidR="00B83D8B" w:rsidRPr="00B83D8B" w:rsidRDefault="00B83D8B" w:rsidP="00B83D8B">
      <w:pPr>
        <w:rPr>
          <w:lang w:val="fr-CH"/>
        </w:rPr>
      </w:pPr>
      <w:r w:rsidRPr="00B83D8B">
        <w:rPr>
          <w:lang w:val="fr-CH"/>
        </w:rPr>
        <w:t>Afin de remplir le guide pour l’analyse des potentiels, différents formulaires permettant de relever les données quantitatives sont mis à votre disposition. Le rapport lui-même sert à compléter les chiffres saisis dans les formulaires avec des explications qualitatives.</w:t>
      </w:r>
    </w:p>
    <w:p w14:paraId="6C24EADB" w14:textId="77777777" w:rsidR="00B83D8B" w:rsidRPr="00B83D8B" w:rsidRDefault="00B83D8B" w:rsidP="00B83D8B">
      <w:pPr>
        <w:rPr>
          <w:lang w:val="fr-CH"/>
        </w:rPr>
      </w:pPr>
      <w:r w:rsidRPr="00B83D8B">
        <w:rPr>
          <w:lang w:val="fr-CH"/>
        </w:rPr>
        <w:t>Les couleurs des cellules des formulaires ont la signification suivante:</w:t>
      </w:r>
    </w:p>
    <w:p w14:paraId="5F52BE2E" w14:textId="77777777" w:rsidR="00B83D8B" w:rsidRDefault="00C47AA9" w:rsidP="00B83D8B">
      <w:r>
        <w:rPr>
          <w:noProof/>
          <w:lang w:eastAsia="de-CH"/>
        </w:rPr>
        <w:drawing>
          <wp:inline distT="0" distB="0" distL="0" distR="0" wp14:anchorId="0D649F1D" wp14:editId="6838DCCC">
            <wp:extent cx="1403350" cy="1292860"/>
            <wp:effectExtent l="19050" t="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403350" cy="1292860"/>
                    </a:xfrm>
                    <a:prstGeom prst="rect">
                      <a:avLst/>
                    </a:prstGeom>
                    <a:noFill/>
                    <a:ln w="9525">
                      <a:noFill/>
                      <a:miter lim="800000"/>
                      <a:headEnd/>
                      <a:tailEnd/>
                    </a:ln>
                  </pic:spPr>
                </pic:pic>
              </a:graphicData>
            </a:graphic>
          </wp:inline>
        </w:drawing>
      </w:r>
    </w:p>
    <w:p w14:paraId="0456D6D6" w14:textId="77777777" w:rsidR="00B83D8B" w:rsidRDefault="00B83D8B" w:rsidP="00B83D8B"/>
    <w:p w14:paraId="127C8758" w14:textId="77777777" w:rsidR="00B83D8B" w:rsidRPr="00B83D8B" w:rsidRDefault="00B83D8B" w:rsidP="00B83D8B">
      <w:pPr>
        <w:rPr>
          <w:lang w:val="fr-CH"/>
        </w:rPr>
      </w:pPr>
      <w:r w:rsidRPr="00B83D8B">
        <w:rPr>
          <w:lang w:val="fr-CH"/>
        </w:rPr>
        <w:t>On doit justifier les champs obligatoires qui ne peuvent pas être saisis à la section «Description générale» ou «Description des différents points» du rapport. Souvent, on peut aussi étayer les informations saisies dans les différents formulaires avec des annexes (dans la colonne Annexe). On doit utiliser les annexes pour permettre à la Confédération de comprendre plus facilement les justifications.</w:t>
      </w:r>
    </w:p>
    <w:p w14:paraId="4E60E5E7" w14:textId="77777777" w:rsidR="004454FC" w:rsidRDefault="00B83D8B" w:rsidP="004454FC">
      <w:pPr>
        <w:rPr>
          <w:lang w:val="fr-CH"/>
        </w:rPr>
      </w:pPr>
      <w:r w:rsidRPr="00B83D8B">
        <w:rPr>
          <w:lang w:val="fr-CH"/>
        </w:rPr>
        <w:t xml:space="preserve">Les formulaires contiennent une multitude d’aides, de conseils et de liens permettant de les remplir plus aisément. </w:t>
      </w:r>
      <w:r w:rsidRPr="004454FC">
        <w:rPr>
          <w:lang w:val="fr-CH"/>
        </w:rPr>
        <w:t>Certains champs de saisie sont accompagnés d’un commentaire explicatif.</w:t>
      </w:r>
    </w:p>
    <w:p w14:paraId="7660ABD3" w14:textId="77777777" w:rsidR="00401BD0" w:rsidRDefault="00401BD0" w:rsidP="00401BD0">
      <w:pPr>
        <w:ind w:left="0"/>
        <w:rPr>
          <w:lang w:val="fr-CH"/>
        </w:rPr>
      </w:pPr>
    </w:p>
    <w:p w14:paraId="75ACC6D8" w14:textId="77777777" w:rsidR="003B4312" w:rsidRPr="00B83D8B" w:rsidRDefault="00401BD0" w:rsidP="00401BD0">
      <w:pPr>
        <w:pStyle w:val="berschrift3"/>
        <w:rPr>
          <w:lang w:val="fr-CH"/>
        </w:rPr>
      </w:pPr>
      <w:r>
        <w:rPr>
          <w:lang w:val="fr-CH"/>
        </w:rPr>
        <w:br w:type="page"/>
      </w:r>
      <w:bookmarkStart w:id="30" w:name="_Toc421696265"/>
      <w:r w:rsidR="00B83D8B" w:rsidRPr="00B83D8B">
        <w:rPr>
          <w:lang w:val="fr-CH"/>
        </w:rPr>
        <w:lastRenderedPageBreak/>
        <w:t>Rapport sur l’analyse des potentiels</w:t>
      </w:r>
      <w:bookmarkEnd w:id="30"/>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53"/>
        <w:gridCol w:w="7343"/>
      </w:tblGrid>
      <w:tr w:rsidR="00B658A3" w:rsidRPr="00F82B1E" w14:paraId="7096283F" w14:textId="77777777" w:rsidTr="00B83D8B">
        <w:trPr>
          <w:cantSplit/>
        </w:trPr>
        <w:tc>
          <w:tcPr>
            <w:tcW w:w="9696" w:type="dxa"/>
            <w:gridSpan w:val="2"/>
            <w:tcBorders>
              <w:top w:val="nil"/>
            </w:tcBorders>
          </w:tcPr>
          <w:p w14:paraId="00553CCA" w14:textId="77777777" w:rsidR="00B83D8B" w:rsidRPr="00B83D8B" w:rsidRDefault="00B83D8B" w:rsidP="00F019DD">
            <w:pPr>
              <w:ind w:left="0"/>
              <w:rPr>
                <w:lang w:val="fr-CH"/>
              </w:rPr>
            </w:pPr>
            <w:r w:rsidRPr="00B83D8B">
              <w:rPr>
                <w:lang w:val="fr-CH"/>
              </w:rPr>
              <w:t xml:space="preserve">Les chapitres présentent les sections suivantes si nécessaire: </w:t>
            </w:r>
            <w:r w:rsidRPr="00B83D8B">
              <w:rPr>
                <w:b/>
                <w:lang w:val="fr-CH"/>
              </w:rPr>
              <w:t>Introduction, Formulaire/Graphique, Description générale, Description des différents points, Exigences, Aide.</w:t>
            </w:r>
            <w:r w:rsidRPr="00B83D8B">
              <w:rPr>
                <w:lang w:val="fr-CH"/>
              </w:rPr>
              <w:t xml:space="preserve"> </w:t>
            </w:r>
          </w:p>
          <w:p w14:paraId="6109CFA6" w14:textId="77777777" w:rsidR="00B83D8B" w:rsidRPr="00B83D8B" w:rsidRDefault="00B83D8B" w:rsidP="00F019DD">
            <w:pPr>
              <w:ind w:left="0"/>
              <w:rPr>
                <w:lang w:val="fr-CH"/>
              </w:rPr>
            </w:pPr>
          </w:p>
          <w:p w14:paraId="506FEAF9" w14:textId="77777777" w:rsidR="00B658A3" w:rsidRPr="00B83D8B" w:rsidRDefault="00B83D8B" w:rsidP="00F019DD">
            <w:pPr>
              <w:ind w:left="0"/>
              <w:rPr>
                <w:lang w:val="fr-CH"/>
              </w:rPr>
            </w:pPr>
            <w:r w:rsidRPr="00B83D8B">
              <w:rPr>
                <w:lang w:val="fr-CH"/>
              </w:rPr>
              <w:t>Voici une brève explication sur la structure des chapitres:</w:t>
            </w:r>
          </w:p>
        </w:tc>
      </w:tr>
      <w:tr w:rsidR="00B83D8B" w:rsidRPr="00F82B1E" w14:paraId="3C428E23" w14:textId="77777777" w:rsidTr="00936B78">
        <w:trPr>
          <w:cantSplit/>
        </w:trPr>
        <w:tc>
          <w:tcPr>
            <w:tcW w:w="2353" w:type="dxa"/>
            <w:tcBorders>
              <w:bottom w:val="single" w:sz="4" w:space="0" w:color="auto"/>
            </w:tcBorders>
            <w:shd w:val="clear" w:color="auto" w:fill="F2F2F2"/>
          </w:tcPr>
          <w:p w14:paraId="4B92F844" w14:textId="77777777" w:rsidR="00B83D8B" w:rsidRDefault="00B83D8B" w:rsidP="0062426D">
            <w:pPr>
              <w:pStyle w:val="Tabellentitel"/>
              <w:ind w:left="0"/>
            </w:pPr>
            <w:r w:rsidRPr="00B778F4">
              <w:t>Introduction</w:t>
            </w:r>
          </w:p>
        </w:tc>
        <w:tc>
          <w:tcPr>
            <w:tcW w:w="7343" w:type="dxa"/>
            <w:tcBorders>
              <w:bottom w:val="single" w:sz="4" w:space="0" w:color="auto"/>
            </w:tcBorders>
            <w:shd w:val="clear" w:color="auto" w:fill="F2F2F2"/>
          </w:tcPr>
          <w:p w14:paraId="604B1A73" w14:textId="77777777" w:rsidR="00B83D8B" w:rsidRPr="00B83D8B" w:rsidRDefault="00B83D8B" w:rsidP="00F019DD">
            <w:pPr>
              <w:ind w:left="0"/>
              <w:rPr>
                <w:lang w:val="fr-CH"/>
              </w:rPr>
            </w:pPr>
            <w:r w:rsidRPr="00B83D8B">
              <w:rPr>
                <w:lang w:val="fr-CH"/>
              </w:rPr>
              <w:t>Description sommaire du but et du contenu du chapitre.</w:t>
            </w:r>
          </w:p>
        </w:tc>
      </w:tr>
      <w:tr w:rsidR="00B658A3" w:rsidRPr="00F82B1E" w14:paraId="578D6074" w14:textId="77777777" w:rsidTr="00B83D8B">
        <w:trPr>
          <w:cantSplit/>
        </w:trPr>
        <w:tc>
          <w:tcPr>
            <w:tcW w:w="9696" w:type="dxa"/>
            <w:gridSpan w:val="2"/>
            <w:tcBorders>
              <w:bottom w:val="single" w:sz="4" w:space="0" w:color="auto"/>
            </w:tcBorders>
          </w:tcPr>
          <w:p w14:paraId="60539ED1" w14:textId="77777777" w:rsidR="00B83D8B" w:rsidRPr="00B83D8B" w:rsidRDefault="00B83D8B" w:rsidP="00F019DD">
            <w:pPr>
              <w:ind w:left="0"/>
              <w:rPr>
                <w:lang w:val="fr-CH"/>
              </w:rPr>
            </w:pPr>
            <w:r w:rsidRPr="00B83D8B">
              <w:rPr>
                <w:b/>
                <w:lang w:val="fr-CH"/>
              </w:rPr>
              <w:t>Tableau/Graphique:</w:t>
            </w:r>
            <w:r w:rsidRPr="00B83D8B">
              <w:rPr>
                <w:lang w:val="fr-CH"/>
              </w:rPr>
              <w:t xml:space="preserve"> </w:t>
            </w:r>
          </w:p>
          <w:p w14:paraId="0300AA6C" w14:textId="77777777" w:rsidR="00B83D8B" w:rsidRPr="00B83D8B" w:rsidRDefault="00B83D8B" w:rsidP="00F019DD">
            <w:pPr>
              <w:ind w:left="0"/>
              <w:rPr>
                <w:lang w:val="fr-CH"/>
              </w:rPr>
            </w:pPr>
            <w:r w:rsidRPr="00B83D8B">
              <w:rPr>
                <w:lang w:val="fr-CH"/>
              </w:rPr>
              <w:t>Procéder comme suit pour importer un formulaire ou un graphique d’Excel dans le document Word:</w:t>
            </w:r>
          </w:p>
          <w:p w14:paraId="4B969354" w14:textId="77777777" w:rsidR="00B83D8B" w:rsidRPr="00B83D8B" w:rsidRDefault="00F019DD" w:rsidP="00F019DD">
            <w:pPr>
              <w:ind w:left="313" w:hanging="313"/>
              <w:rPr>
                <w:lang w:val="fr-CH"/>
              </w:rPr>
            </w:pPr>
            <w:r>
              <w:rPr>
                <w:lang w:val="fr-CH"/>
              </w:rPr>
              <w:t>1.</w:t>
            </w:r>
            <w:r>
              <w:rPr>
                <w:lang w:val="fr-CH"/>
              </w:rPr>
              <w:tab/>
            </w:r>
            <w:r w:rsidR="00B83D8B" w:rsidRPr="00B83D8B">
              <w:rPr>
                <w:lang w:val="fr-CH"/>
              </w:rPr>
              <w:t>Marquer dans le document Excel le formulaire ou le graphique à importer.</w:t>
            </w:r>
          </w:p>
          <w:p w14:paraId="6A9EC9CB" w14:textId="77777777" w:rsidR="00B83D8B" w:rsidRPr="00B83D8B" w:rsidRDefault="00F019DD" w:rsidP="00F019DD">
            <w:pPr>
              <w:ind w:left="313" w:hanging="313"/>
              <w:rPr>
                <w:lang w:val="fr-CH"/>
              </w:rPr>
            </w:pPr>
            <w:r>
              <w:rPr>
                <w:lang w:val="fr-CH"/>
              </w:rPr>
              <w:t>2.</w:t>
            </w:r>
            <w:r>
              <w:rPr>
                <w:lang w:val="fr-CH"/>
              </w:rPr>
              <w:tab/>
            </w:r>
            <w:r w:rsidR="00B83D8B" w:rsidRPr="00B83D8B">
              <w:rPr>
                <w:lang w:val="fr-CH"/>
              </w:rPr>
              <w:t>Copier (Ctrl+c).</w:t>
            </w:r>
          </w:p>
          <w:p w14:paraId="68B05E24" w14:textId="77777777" w:rsidR="00B83D8B" w:rsidRPr="00B83D8B" w:rsidRDefault="00B83D8B" w:rsidP="00F019DD">
            <w:pPr>
              <w:ind w:left="313" w:hanging="313"/>
              <w:rPr>
                <w:lang w:val="fr-CH"/>
              </w:rPr>
            </w:pPr>
            <w:r w:rsidRPr="00FB28EB">
              <w:rPr>
                <w:lang w:val="fr-CH"/>
              </w:rPr>
              <w:t xml:space="preserve">3. </w:t>
            </w:r>
            <w:r w:rsidR="00F019DD" w:rsidRPr="00FB28EB">
              <w:rPr>
                <w:lang w:val="fr-CH"/>
              </w:rPr>
              <w:tab/>
            </w:r>
            <w:r w:rsidRPr="00FB28EB">
              <w:rPr>
                <w:lang w:val="fr-CH"/>
              </w:rPr>
              <w:t>Dans le document Word, supprimer le formulaire ou le graphique qui indique où effectuer l’insertion. Le curseur reste automatiquement au bon endroit. Ne pas le bouger S.V.P.</w:t>
            </w:r>
          </w:p>
          <w:p w14:paraId="51186C69" w14:textId="77777777" w:rsidR="00B83D8B" w:rsidRPr="00B83D8B" w:rsidRDefault="00F019DD" w:rsidP="00F019DD">
            <w:pPr>
              <w:ind w:left="313" w:hanging="313"/>
              <w:rPr>
                <w:lang w:val="fr-CH"/>
              </w:rPr>
            </w:pPr>
            <w:r>
              <w:rPr>
                <w:lang w:val="fr-CH"/>
              </w:rPr>
              <w:t>4.</w:t>
            </w:r>
            <w:r>
              <w:rPr>
                <w:lang w:val="fr-CH"/>
              </w:rPr>
              <w:tab/>
            </w:r>
            <w:r w:rsidR="00B83D8B" w:rsidRPr="00B83D8B">
              <w:rPr>
                <w:lang w:val="fr-CH"/>
              </w:rPr>
              <w:t>Intégrer le formulaire ou le graphique dans le rapport Word en cliquant sur Menu &gt; Accueil &gt; Coller &gt; Collage spécial, puis choisir «Image (métafichier amélioré)» &gt; OK (le cas échéant, la présentation doit être corrigée via Format &gt; Position &gt; Aligné sur le texte)</w:t>
            </w:r>
          </w:p>
          <w:p w14:paraId="3103D01D" w14:textId="77777777" w:rsidR="0062426D" w:rsidRDefault="00B83D8B" w:rsidP="00F019DD">
            <w:pPr>
              <w:ind w:left="0"/>
              <w:rPr>
                <w:lang w:val="fr-CH"/>
              </w:rPr>
            </w:pPr>
            <w:r w:rsidRPr="00B83D8B">
              <w:rPr>
                <w:lang w:val="fr-CH"/>
              </w:rPr>
              <w:t>Dans le document Word, les tableaux sont seulement affichés: ils ne peuvent être établis et modifiés que dans le document Excel correspondant.</w:t>
            </w:r>
          </w:p>
          <w:p w14:paraId="7A53A573" w14:textId="77777777" w:rsidR="00F74582" w:rsidRPr="00B83D8B" w:rsidRDefault="00AE6C37" w:rsidP="00F019DD">
            <w:pPr>
              <w:pStyle w:val="Bild"/>
              <w:ind w:left="0"/>
              <w:rPr>
                <w:lang w:val="fr-CH"/>
              </w:rPr>
            </w:pPr>
            <w:r>
              <mc:AlternateContent>
                <mc:Choice Requires="wps">
                  <w:drawing>
                    <wp:inline distT="0" distB="0" distL="0" distR="0" wp14:anchorId="687B5FF7" wp14:editId="601D691C">
                      <wp:extent cx="3838575" cy="519430"/>
                      <wp:effectExtent l="13335" t="12700" r="15240" b="10795"/>
                      <wp:docPr id="288"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519430"/>
                              </a:xfrm>
                              <a:prstGeom prst="rect">
                                <a:avLst/>
                              </a:prstGeom>
                              <a:solidFill>
                                <a:srgbClr val="FFFFFF"/>
                              </a:solidFill>
                              <a:ln w="12700">
                                <a:solidFill>
                                  <a:srgbClr val="808080"/>
                                </a:solidFill>
                                <a:prstDash val="sysDash"/>
                                <a:miter lim="800000"/>
                                <a:headEnd/>
                                <a:tailEnd/>
                              </a:ln>
                            </wps:spPr>
                            <wps:bodyPr rot="0" vert="horz" wrap="square" lIns="91440" tIns="45720" rIns="91440" bIns="45720" anchor="ctr" anchorCtr="0" upright="1">
                              <a:noAutofit/>
                            </wps:bodyPr>
                          </wps:wsp>
                        </a:graphicData>
                      </a:graphic>
                    </wp:inline>
                  </w:drawing>
                </mc:Choice>
                <mc:Fallback>
                  <w:pict>
                    <v:rect w14:anchorId="02CA52D8" id="Rechteck 22" o:spid="_x0000_s1026" style="width:302.25pt;height:4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" strokecolor="gray" strokeweight="1pt">
                      <v:stroke dashstyle="3 1"/>
                      <w10:anchorlock/>
                    </v:rect>
                  </w:pict>
                </mc:Fallback>
              </mc:AlternateContent>
            </w:r>
          </w:p>
          <w:p w14:paraId="75FF2077" w14:textId="77777777" w:rsidR="00B658A3" w:rsidRPr="00F019DD" w:rsidRDefault="00B83D8B" w:rsidP="00F16C61">
            <w:pPr>
              <w:pStyle w:val="BildTabellenbeschriftung"/>
            </w:pPr>
            <w:r w:rsidRPr="00F019DD">
              <w:t>Tableau 1 (description du tableau) / Illustration 1 (description de l’illustration)</w:t>
            </w:r>
          </w:p>
        </w:tc>
      </w:tr>
      <w:tr w:rsidR="00B83D8B" w:rsidRPr="00F82B1E" w14:paraId="60FAEFE2" w14:textId="77777777" w:rsidTr="00B83D8B">
        <w:trPr>
          <w:cantSplit/>
        </w:trPr>
        <w:tc>
          <w:tcPr>
            <w:tcW w:w="2353" w:type="dxa"/>
            <w:shd w:val="clear" w:color="auto" w:fill="auto"/>
          </w:tcPr>
          <w:p w14:paraId="65BA1948" w14:textId="77777777" w:rsidR="00B83D8B" w:rsidRDefault="00B83D8B" w:rsidP="0062426D">
            <w:pPr>
              <w:pStyle w:val="Tabellentitel"/>
              <w:spacing w:line="240" w:lineRule="auto"/>
              <w:ind w:left="0" w:right="0"/>
            </w:pPr>
            <w:r w:rsidRPr="00B778F4">
              <w:t>Description générale</w:t>
            </w:r>
          </w:p>
        </w:tc>
        <w:tc>
          <w:tcPr>
            <w:tcW w:w="7343" w:type="dxa"/>
            <w:tcBorders>
              <w:bottom w:val="single" w:sz="4" w:space="0" w:color="auto"/>
            </w:tcBorders>
            <w:shd w:val="clear" w:color="auto" w:fill="B9DAFF"/>
          </w:tcPr>
          <w:p w14:paraId="2F68C283" w14:textId="77777777" w:rsidR="00B83D8B" w:rsidRPr="00B83D8B" w:rsidRDefault="00B83D8B" w:rsidP="00F019DD">
            <w:pPr>
              <w:ind w:left="0" w:right="0"/>
              <w:rPr>
                <w:lang w:val="fr-CH"/>
              </w:rPr>
            </w:pPr>
            <w:r w:rsidRPr="00B83D8B">
              <w:rPr>
                <w:lang w:val="fr-CH"/>
              </w:rPr>
              <w:t xml:space="preserve">Dans cette section, on doit donner des explications valables pour tout le chapitre et pas seulement pour certains points des formulaires ou des graphiques. On doit aussi justifier les exigences qui ne peuvent pas être respectées. </w:t>
            </w:r>
          </w:p>
        </w:tc>
      </w:tr>
      <w:tr w:rsidR="00B83D8B" w:rsidRPr="00F82B1E" w14:paraId="1037AE33" w14:textId="77777777" w:rsidTr="00B83D8B">
        <w:trPr>
          <w:cantSplit/>
        </w:trPr>
        <w:tc>
          <w:tcPr>
            <w:tcW w:w="2353" w:type="dxa"/>
            <w:tcBorders>
              <w:bottom w:val="single" w:sz="4" w:space="0" w:color="auto"/>
            </w:tcBorders>
            <w:shd w:val="clear" w:color="auto" w:fill="auto"/>
          </w:tcPr>
          <w:p w14:paraId="15D19835" w14:textId="77777777" w:rsidR="00B83D8B" w:rsidRDefault="00B83D8B" w:rsidP="0062426D">
            <w:pPr>
              <w:pStyle w:val="Tabellentitel"/>
              <w:spacing w:line="240" w:lineRule="auto"/>
              <w:ind w:left="0" w:right="0"/>
            </w:pPr>
            <w:r w:rsidRPr="00B778F4">
              <w:t xml:space="preserve">Description des </w:t>
            </w:r>
            <w:r w:rsidRPr="00B778F4">
              <w:br/>
              <w:t xml:space="preserve">différents points: </w:t>
            </w:r>
          </w:p>
        </w:tc>
        <w:tc>
          <w:tcPr>
            <w:tcW w:w="7343" w:type="dxa"/>
            <w:tcBorders>
              <w:bottom w:val="single" w:sz="4" w:space="0" w:color="auto"/>
            </w:tcBorders>
            <w:shd w:val="clear" w:color="auto" w:fill="B9DAFF"/>
          </w:tcPr>
          <w:p w14:paraId="24C8DA55" w14:textId="77777777" w:rsidR="00B83D8B" w:rsidRPr="00B83D8B" w:rsidRDefault="00B83D8B" w:rsidP="00F019DD">
            <w:pPr>
              <w:ind w:left="0" w:right="0"/>
              <w:rPr>
                <w:lang w:val="fr-CH"/>
              </w:rPr>
            </w:pPr>
            <w:r w:rsidRPr="00B83D8B">
              <w:rPr>
                <w:lang w:val="fr-CH"/>
              </w:rPr>
              <w:t>Dans cette section, on doit expliciter les différents points des formulaires ou des graphiques.</w:t>
            </w:r>
          </w:p>
          <w:p w14:paraId="486CC7BE" w14:textId="77777777" w:rsidR="00B83D8B" w:rsidRPr="00B83D8B" w:rsidRDefault="00B83D8B" w:rsidP="00F019DD">
            <w:pPr>
              <w:ind w:left="0" w:right="0"/>
              <w:rPr>
                <w:lang w:val="fr-CH"/>
              </w:rPr>
            </w:pPr>
            <w:r w:rsidRPr="00B83D8B">
              <w:rPr>
                <w:lang w:val="fr-CH"/>
              </w:rPr>
              <w:t xml:space="preserve">On doit aussi justifier les exigences qui ne peuvent pas être respectées. </w:t>
            </w:r>
          </w:p>
        </w:tc>
      </w:tr>
      <w:tr w:rsidR="00B83D8B" w:rsidRPr="00F82B1E" w14:paraId="72283456" w14:textId="77777777" w:rsidTr="00B83D8B">
        <w:trPr>
          <w:cantSplit/>
        </w:trPr>
        <w:tc>
          <w:tcPr>
            <w:tcW w:w="2353" w:type="dxa"/>
            <w:shd w:val="clear" w:color="auto" w:fill="F2DBDB"/>
          </w:tcPr>
          <w:p w14:paraId="43229CC4" w14:textId="77777777" w:rsidR="00B83D8B" w:rsidRDefault="00B83D8B" w:rsidP="0062426D">
            <w:pPr>
              <w:pStyle w:val="Tabellentitel"/>
              <w:spacing w:line="240" w:lineRule="auto"/>
              <w:ind w:left="0" w:right="0"/>
            </w:pPr>
            <w:r w:rsidRPr="00B778F4">
              <w:lastRenderedPageBreak/>
              <w:t>Exigences</w:t>
            </w:r>
          </w:p>
        </w:tc>
        <w:tc>
          <w:tcPr>
            <w:tcW w:w="7343" w:type="dxa"/>
            <w:shd w:val="clear" w:color="auto" w:fill="F2DBDB"/>
          </w:tcPr>
          <w:p w14:paraId="21E4D48F" w14:textId="2F093AC9" w:rsidR="00B83D8B" w:rsidRPr="00B83D8B" w:rsidRDefault="00B83D8B" w:rsidP="00F019DD">
            <w:pPr>
              <w:ind w:left="0" w:right="0"/>
              <w:rPr>
                <w:lang w:val="fr-CH"/>
              </w:rPr>
            </w:pPr>
            <w:r w:rsidRPr="00B83D8B">
              <w:rPr>
                <w:lang w:val="fr-CH"/>
              </w:rPr>
              <w:t xml:space="preserve">Cette section décrit les exigences posées </w:t>
            </w:r>
          </w:p>
          <w:p w14:paraId="62BB451E" w14:textId="23776CD9" w:rsidR="00B83D8B" w:rsidRDefault="00DF4432" w:rsidP="000D4B44">
            <w:pPr>
              <w:pStyle w:val="NummerierteAufzhlung"/>
              <w:numPr>
                <w:ilvl w:val="0"/>
                <w:numId w:val="6"/>
              </w:numPr>
              <w:ind w:left="369" w:hanging="369"/>
              <w:rPr>
                <w:lang w:val="fr-CH"/>
              </w:rPr>
            </w:pPr>
            <w:r>
              <w:rPr>
                <w:lang w:val="fr-CH"/>
              </w:rPr>
              <w:t>p</w:t>
            </w:r>
            <w:r w:rsidR="00F65A08">
              <w:rPr>
                <w:lang w:val="fr-CH"/>
              </w:rPr>
              <w:t>our</w:t>
            </w:r>
            <w:r>
              <w:rPr>
                <w:lang w:val="fr-CH"/>
              </w:rPr>
              <w:t xml:space="preserve"> </w:t>
            </w:r>
            <w:r w:rsidR="00B83D8B" w:rsidRPr="00B778F4">
              <w:rPr>
                <w:lang w:val="fr-CH"/>
              </w:rPr>
              <w:t>un rapport complet sur l’analyse des potentiels faisant partie intégrante d</w:t>
            </w:r>
            <w:r w:rsidR="006903CF">
              <w:rPr>
                <w:lang w:val="fr-CH"/>
              </w:rPr>
              <w:t xml:space="preserve">’une </w:t>
            </w:r>
            <w:r w:rsidR="00B83D8B" w:rsidRPr="00B778F4">
              <w:rPr>
                <w:lang w:val="fr-CH"/>
              </w:rPr>
              <w:t>demande d’exemption de la taxe sur le CO</w:t>
            </w:r>
            <w:r w:rsidR="00B83D8B" w:rsidRPr="00B778F4">
              <w:rPr>
                <w:vertAlign w:val="subscript"/>
                <w:lang w:val="fr-CH"/>
              </w:rPr>
              <w:t>2</w:t>
            </w:r>
            <w:r w:rsidR="006903CF">
              <w:rPr>
                <w:lang w:val="fr-CH"/>
              </w:rPr>
              <w:t>,</w:t>
            </w:r>
          </w:p>
          <w:p w14:paraId="45578191" w14:textId="4921E330" w:rsidR="00AC6CC4" w:rsidRDefault="00F65A08" w:rsidP="000D4B44">
            <w:pPr>
              <w:pStyle w:val="NummerierteAufzhlung"/>
              <w:numPr>
                <w:ilvl w:val="0"/>
                <w:numId w:val="6"/>
              </w:numPr>
              <w:ind w:left="369" w:hanging="369"/>
              <w:rPr>
                <w:lang w:val="fr-CH"/>
              </w:rPr>
            </w:pPr>
            <w:r>
              <w:rPr>
                <w:lang w:val="fr-CH"/>
              </w:rPr>
              <w:t>pour</w:t>
            </w:r>
            <w:r w:rsidR="00B83D8B" w:rsidRPr="00B778F4">
              <w:rPr>
                <w:lang w:val="fr-CH"/>
              </w:rPr>
              <w:t xml:space="preserve"> un rapport complet sur l’analyse des potentiels faisant partie intégrante </w:t>
            </w:r>
            <w:r w:rsidR="006903CF">
              <w:rPr>
                <w:lang w:val="fr-CH"/>
              </w:rPr>
              <w:t xml:space="preserve">d’une </w:t>
            </w:r>
            <w:r w:rsidR="00AC6CC4">
              <w:rPr>
                <w:lang w:val="fr-CH"/>
              </w:rPr>
              <w:t>demande de remboursement du supplément</w:t>
            </w:r>
            <w:r w:rsidR="006903CF">
              <w:rPr>
                <w:lang w:val="fr-CH"/>
              </w:rPr>
              <w:t>,</w:t>
            </w:r>
          </w:p>
          <w:p w14:paraId="49126035" w14:textId="1781D891" w:rsidR="006903CF" w:rsidRDefault="00DF4432" w:rsidP="000D4B44">
            <w:pPr>
              <w:pStyle w:val="NummerierteAufzhlung"/>
              <w:numPr>
                <w:ilvl w:val="0"/>
                <w:numId w:val="6"/>
              </w:numPr>
              <w:ind w:left="369" w:hanging="369"/>
              <w:rPr>
                <w:lang w:val="fr-CH"/>
              </w:rPr>
            </w:pPr>
            <w:r>
              <w:rPr>
                <w:lang w:val="fr-CH"/>
              </w:rPr>
              <w:t xml:space="preserve">pour </w:t>
            </w:r>
            <w:r w:rsidR="006903CF" w:rsidRPr="00B778F4">
              <w:rPr>
                <w:lang w:val="fr-CH"/>
              </w:rPr>
              <w:t xml:space="preserve">un rapport complet sur l’analyse des potentiels faisant partie intégrante </w:t>
            </w:r>
            <w:r w:rsidR="006903CF">
              <w:rPr>
                <w:lang w:val="fr-CH"/>
              </w:rPr>
              <w:t>d’une proposition de convention d’</w:t>
            </w:r>
            <w:r w:rsidR="00282100">
              <w:rPr>
                <w:lang w:val="fr-CH"/>
              </w:rPr>
              <w:t>objectifs</w:t>
            </w:r>
            <w:r w:rsidR="006903CF">
              <w:rPr>
                <w:lang w:val="fr-CH"/>
              </w:rPr>
              <w:t xml:space="preserve"> universelle,</w:t>
            </w:r>
          </w:p>
          <w:p w14:paraId="6101A47F" w14:textId="579FFFB0" w:rsidR="00B83D8B" w:rsidRDefault="006903CF" w:rsidP="000D4B44">
            <w:pPr>
              <w:pStyle w:val="NummerierteAufzhlung"/>
              <w:numPr>
                <w:ilvl w:val="0"/>
                <w:numId w:val="6"/>
              </w:numPr>
              <w:ind w:left="369" w:hanging="369"/>
              <w:rPr>
                <w:lang w:val="fr-CH"/>
              </w:rPr>
            </w:pPr>
            <w:r>
              <w:rPr>
                <w:lang w:val="fr-CH"/>
              </w:rPr>
              <w:t xml:space="preserve">pour un rapport complet sur l’analyse des potentiels faisant partie intégrante d’une proposition </w:t>
            </w:r>
            <w:r w:rsidR="00B83D8B" w:rsidRPr="00B778F4">
              <w:rPr>
                <w:lang w:val="fr-CH"/>
              </w:rPr>
              <w:t>de convention d’objectif</w:t>
            </w:r>
            <w:r w:rsidR="00282100">
              <w:rPr>
                <w:lang w:val="fr-CH"/>
              </w:rPr>
              <w:t>s</w:t>
            </w:r>
            <w:r w:rsidR="00B83D8B" w:rsidRPr="00B778F4">
              <w:rPr>
                <w:lang w:val="fr-CH"/>
              </w:rPr>
              <w:t xml:space="preserve"> volontaire.</w:t>
            </w:r>
          </w:p>
          <w:p w14:paraId="171094C6" w14:textId="77777777" w:rsidR="00B83D8B" w:rsidRDefault="00B83D8B" w:rsidP="00F019DD">
            <w:pPr>
              <w:pStyle w:val="NummerierteAufzhlung"/>
              <w:numPr>
                <w:ilvl w:val="0"/>
                <w:numId w:val="0"/>
              </w:numPr>
              <w:rPr>
                <w:lang w:val="fr-CH"/>
              </w:rPr>
            </w:pPr>
            <w:r w:rsidRPr="00B778F4">
              <w:rPr>
                <w:lang w:val="fr-CH"/>
              </w:rPr>
              <w:t xml:space="preserve">Les exigences qui ne peuvent pas être remplies doivent être justifiées dans les deux sections précitées. En outre, cette section mentionne aussi les champs facultatifs qui sont utiles pour une analyse complète des potentiels et pour l’examen de la demande mais qui ne doivent pas obligatoirement être remplis. </w:t>
            </w:r>
          </w:p>
        </w:tc>
      </w:tr>
      <w:tr w:rsidR="00B83D8B" w:rsidRPr="00F82B1E" w14:paraId="64B5FA74" w14:textId="77777777" w:rsidTr="00B83D8B">
        <w:trPr>
          <w:cantSplit/>
        </w:trPr>
        <w:tc>
          <w:tcPr>
            <w:tcW w:w="2353" w:type="dxa"/>
            <w:shd w:val="clear" w:color="auto" w:fill="F2F2F2"/>
          </w:tcPr>
          <w:p w14:paraId="0B6CC13B" w14:textId="77777777" w:rsidR="00B83D8B" w:rsidRDefault="00B83D8B" w:rsidP="0062426D">
            <w:pPr>
              <w:pStyle w:val="Tabellentitel"/>
              <w:spacing w:line="240" w:lineRule="auto"/>
              <w:ind w:left="0" w:right="0"/>
            </w:pPr>
            <w:r w:rsidRPr="00B778F4">
              <w:t>Aide</w:t>
            </w:r>
          </w:p>
        </w:tc>
        <w:tc>
          <w:tcPr>
            <w:tcW w:w="7343" w:type="dxa"/>
            <w:shd w:val="clear" w:color="auto" w:fill="F2F2F2"/>
          </w:tcPr>
          <w:p w14:paraId="663D9CD1" w14:textId="77777777" w:rsidR="00B83D8B" w:rsidRPr="00B83D8B" w:rsidRDefault="00B83D8B" w:rsidP="00F019DD">
            <w:pPr>
              <w:ind w:left="0" w:right="0"/>
              <w:rPr>
                <w:lang w:val="fr-CH"/>
              </w:rPr>
            </w:pPr>
            <w:r w:rsidRPr="00B83D8B">
              <w:rPr>
                <w:lang w:val="fr-CH"/>
              </w:rPr>
              <w:t>Cette section fournit des aides qui facilitent le remplissage des formulaires. De surcroît, des liens et des conseils utiles relatifs au chapitre améliorent la compréhension des flux d’énergie. Différentes informations contenues dans cette section figurent aussi dans les formulaires Excel.</w:t>
            </w:r>
          </w:p>
        </w:tc>
      </w:tr>
    </w:tbl>
    <w:p w14:paraId="34563000" w14:textId="77777777" w:rsidR="00B83D8B" w:rsidRDefault="00890901" w:rsidP="00401BD0">
      <w:pPr>
        <w:pStyle w:val="berschrift1"/>
      </w:pPr>
      <w:r w:rsidRPr="00B83D8B">
        <w:rPr>
          <w:lang w:val="fr-CH"/>
        </w:rPr>
        <w:br w:type="page"/>
      </w:r>
      <w:bookmarkStart w:id="31" w:name="_Toc347303566"/>
      <w:bookmarkStart w:id="32" w:name="_Toc347853251"/>
      <w:bookmarkStart w:id="33" w:name="_Toc354127697"/>
      <w:bookmarkStart w:id="34" w:name="_Toc421696266"/>
      <w:r w:rsidR="00B83D8B" w:rsidRPr="00B778F4">
        <w:lastRenderedPageBreak/>
        <w:t xml:space="preserve">Situation </w:t>
      </w:r>
      <w:bookmarkEnd w:id="31"/>
      <w:r w:rsidR="00B83D8B" w:rsidRPr="00B778F4">
        <w:t>de départ</w:t>
      </w:r>
      <w:bookmarkEnd w:id="32"/>
      <w:bookmarkEnd w:id="33"/>
      <w:bookmarkEnd w:id="34"/>
    </w:p>
    <w:p w14:paraId="697C2D24" w14:textId="77777777" w:rsidR="00890901" w:rsidRPr="00B4595A" w:rsidRDefault="00B83D8B" w:rsidP="000073BF">
      <w:pPr>
        <w:pStyle w:val="berschrift2"/>
      </w:pPr>
      <w:bookmarkStart w:id="35" w:name="_Toc347303567"/>
      <w:bookmarkStart w:id="36" w:name="_Toc347853252"/>
      <w:bookmarkStart w:id="37" w:name="_Toc354127698"/>
      <w:bookmarkStart w:id="38" w:name="_Toc421696267"/>
      <w:r w:rsidRPr="00B778F4">
        <w:t>Entreprise, site de production, responsable du dossier</w:t>
      </w:r>
      <w:bookmarkEnd w:id="35"/>
      <w:bookmarkEnd w:id="36"/>
      <w:bookmarkEnd w:id="37"/>
      <w:bookmarkEnd w:id="38"/>
    </w:p>
    <w:tbl>
      <w:tblPr>
        <w:tblW w:w="9414"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7343"/>
      </w:tblGrid>
      <w:tr w:rsidR="009C7BED" w:rsidRPr="00936B78" w14:paraId="0053A725" w14:textId="77777777" w:rsidTr="00FD6355">
        <w:trPr>
          <w:cantSplit/>
        </w:trPr>
        <w:tc>
          <w:tcPr>
            <w:tcW w:w="2071" w:type="dxa"/>
            <w:tcBorders>
              <w:bottom w:val="single" w:sz="4" w:space="0" w:color="auto"/>
            </w:tcBorders>
            <w:shd w:val="clear" w:color="auto" w:fill="F2F2F2"/>
          </w:tcPr>
          <w:p w14:paraId="5BDCA04F" w14:textId="77777777" w:rsidR="009C7BED" w:rsidRPr="00936B78" w:rsidRDefault="00B83D8B" w:rsidP="00401BD0">
            <w:pPr>
              <w:pStyle w:val="Tabellentitel"/>
              <w:spacing w:line="240" w:lineRule="auto"/>
              <w:ind w:left="0" w:right="0"/>
            </w:pPr>
            <w:r w:rsidRPr="00B778F4">
              <w:t>Introduction</w:t>
            </w:r>
          </w:p>
        </w:tc>
        <w:tc>
          <w:tcPr>
            <w:tcW w:w="7343" w:type="dxa"/>
            <w:tcBorders>
              <w:bottom w:val="single" w:sz="4" w:space="0" w:color="auto"/>
            </w:tcBorders>
            <w:shd w:val="clear" w:color="auto" w:fill="F2F2F2"/>
          </w:tcPr>
          <w:p w14:paraId="39FED58F" w14:textId="77777777" w:rsidR="009C7BED" w:rsidRPr="00936B78" w:rsidRDefault="00FD6355" w:rsidP="00FD6355">
            <w:pPr>
              <w:ind w:left="0"/>
            </w:pPr>
            <w:r w:rsidRPr="00B778F4">
              <w:t>Aucune</w:t>
            </w:r>
          </w:p>
        </w:tc>
      </w:tr>
      <w:tr w:rsidR="00912D5A" w:rsidRPr="00F82B1E" w14:paraId="019C817A" w14:textId="77777777" w:rsidTr="00FD6355">
        <w:trPr>
          <w:cantSplit/>
        </w:trPr>
        <w:tc>
          <w:tcPr>
            <w:tcW w:w="9414" w:type="dxa"/>
            <w:gridSpan w:val="2"/>
            <w:tcBorders>
              <w:bottom w:val="single" w:sz="4" w:space="0" w:color="auto"/>
            </w:tcBorders>
          </w:tcPr>
          <w:p w14:paraId="243FE1E7" w14:textId="77777777" w:rsidR="00011512" w:rsidRPr="00936B78" w:rsidRDefault="00C47AA9" w:rsidP="00F16C61">
            <w:pPr>
              <w:pStyle w:val="BildTabellenbeschriftung"/>
            </w:pPr>
            <w:r>
              <w:rPr>
                <w:lang w:val="de-CH"/>
              </w:rPr>
              <w:drawing>
                <wp:inline distT="0" distB="0" distL="0" distR="0" wp14:anchorId="635643F7" wp14:editId="7F7A510A">
                  <wp:extent cx="6085205" cy="3121660"/>
                  <wp:effectExtent l="1905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6085205" cy="3121660"/>
                          </a:xfrm>
                          <a:prstGeom prst="rect">
                            <a:avLst/>
                          </a:prstGeom>
                          <a:noFill/>
                          <a:ln w="9525">
                            <a:noFill/>
                            <a:miter lim="800000"/>
                            <a:headEnd/>
                            <a:tailEnd/>
                          </a:ln>
                        </pic:spPr>
                      </pic:pic>
                    </a:graphicData>
                  </a:graphic>
                </wp:inline>
              </w:drawing>
            </w:r>
          </w:p>
          <w:p w14:paraId="41CA1BE2" w14:textId="77777777" w:rsidR="00912D5A" w:rsidRPr="00F16C61" w:rsidRDefault="00573B08" w:rsidP="00573B08">
            <w:pPr>
              <w:pStyle w:val="BildTabellenbeschriftung"/>
            </w:pPr>
            <w:bookmarkStart w:id="39" w:name="_Toc421696297"/>
            <w:r w:rsidRPr="00B70AE8">
              <w:t xml:space="preserve">Tableau </w:t>
            </w:r>
            <w:r w:rsidR="00AE6C37">
              <w:fldChar w:fldCharType="begin"/>
            </w:r>
            <w:r w:rsidR="00AE6C37">
              <w:instrText xml:space="preserve"> SEQ Tabelle \* ARABIC </w:instrText>
            </w:r>
            <w:r w:rsidR="00AE6C37">
              <w:fldChar w:fldCharType="separate"/>
            </w:r>
            <w:r w:rsidR="00FD6355">
              <w:t>1</w:t>
            </w:r>
            <w:r w:rsidR="00AE6C37">
              <w:fldChar w:fldCharType="end"/>
            </w:r>
            <w:r w:rsidR="00FD6355">
              <w:t xml:space="preserve"> </w:t>
            </w:r>
            <w:r w:rsidR="00FD6355" w:rsidRPr="00FD6355">
              <w:t>(entreprise, site de production, responsable du dossier)</w:t>
            </w:r>
            <w:bookmarkEnd w:id="39"/>
          </w:p>
        </w:tc>
      </w:tr>
      <w:tr w:rsidR="00F376A3" w:rsidRPr="00F82B1E" w14:paraId="77E6B299" w14:textId="77777777" w:rsidTr="00FD6355">
        <w:trPr>
          <w:cantSplit/>
          <w:trHeight w:val="2353"/>
        </w:trPr>
        <w:tc>
          <w:tcPr>
            <w:tcW w:w="2071" w:type="dxa"/>
            <w:tcBorders>
              <w:bottom w:val="single" w:sz="4" w:space="0" w:color="auto"/>
            </w:tcBorders>
            <w:shd w:val="clear" w:color="auto" w:fill="auto"/>
          </w:tcPr>
          <w:p w14:paraId="6C1FC6A9" w14:textId="77777777" w:rsidR="00F376A3" w:rsidRDefault="00F376A3" w:rsidP="00401BD0">
            <w:pPr>
              <w:pStyle w:val="Tabellentitel"/>
              <w:spacing w:line="240" w:lineRule="auto"/>
              <w:ind w:left="0" w:right="0"/>
            </w:pPr>
            <w:r w:rsidRPr="00B778F4">
              <w:t>Description générale</w:t>
            </w:r>
          </w:p>
        </w:tc>
        <w:tc>
          <w:tcPr>
            <w:tcW w:w="7343" w:type="dxa"/>
            <w:tcBorders>
              <w:bottom w:val="single" w:sz="4" w:space="0" w:color="auto"/>
            </w:tcBorders>
            <w:shd w:val="clear" w:color="auto" w:fill="B9DAFF"/>
          </w:tcPr>
          <w:p w14:paraId="1A153B15" w14:textId="77777777" w:rsidR="00F376A3" w:rsidRPr="00F376A3" w:rsidRDefault="00F376A3" w:rsidP="00401BD0">
            <w:pPr>
              <w:ind w:left="0"/>
              <w:rPr>
                <w:lang w:val="fr-CH"/>
              </w:rPr>
            </w:pPr>
            <w:r w:rsidRPr="00F376A3">
              <w:rPr>
                <w:lang w:val="fr-CH"/>
              </w:rPr>
              <w:t xml:space="preserve">L’entreprise Exemple SA est active dans la production de produits laitiers. Elle a deux sites de production, l’un à Lugano et l’autre à Locarno. L’analyse des potentiels est effectuée sur le site de Locarno où travaillent 35 employés à plein temps répartis en deux équipes. </w:t>
            </w:r>
          </w:p>
          <w:p w14:paraId="3B88530B" w14:textId="77777777" w:rsidR="00F376A3" w:rsidRPr="00F376A3" w:rsidRDefault="00F376A3" w:rsidP="00401BD0">
            <w:pPr>
              <w:ind w:left="0"/>
              <w:rPr>
                <w:lang w:val="fr-CH"/>
              </w:rPr>
            </w:pPr>
            <w:r w:rsidRPr="00F376A3">
              <w:rPr>
                <w:lang w:val="fr-CH"/>
              </w:rPr>
              <w:t>Près de 12 millions de litres de lait cru sont transformés chaque année à Locarno en différents produits finaux tels que du lait UHT, du lait pasteurisé, des fromages à pâte dure, des fromages à pâte molle et de la crème. Le lait représente la majeure partie de la production. Les produits sont entreposés sur place dans différents entrepôts frigorifiques avant d’être livrés aux points de vente des partenaires commerciaux.</w:t>
            </w:r>
          </w:p>
        </w:tc>
      </w:tr>
      <w:tr w:rsidR="00F376A3" w:rsidRPr="00F82B1E" w14:paraId="65E0E9B5" w14:textId="77777777" w:rsidTr="00FD6355">
        <w:trPr>
          <w:cantSplit/>
        </w:trPr>
        <w:tc>
          <w:tcPr>
            <w:tcW w:w="2071" w:type="dxa"/>
            <w:shd w:val="clear" w:color="auto" w:fill="F2DBDB"/>
          </w:tcPr>
          <w:p w14:paraId="685E7D1C" w14:textId="77777777" w:rsidR="00F376A3" w:rsidRDefault="00F376A3" w:rsidP="00401BD0">
            <w:pPr>
              <w:pStyle w:val="Tabellentitel"/>
              <w:spacing w:line="240" w:lineRule="auto"/>
              <w:ind w:left="0" w:right="0"/>
            </w:pPr>
            <w:r w:rsidRPr="00B778F4">
              <w:t>Exigences</w:t>
            </w:r>
          </w:p>
        </w:tc>
        <w:tc>
          <w:tcPr>
            <w:tcW w:w="7343" w:type="dxa"/>
            <w:shd w:val="clear" w:color="auto" w:fill="F2DBDB"/>
          </w:tcPr>
          <w:p w14:paraId="0BF279CF" w14:textId="77777777" w:rsidR="00F376A3" w:rsidRDefault="003714FF" w:rsidP="00D72126">
            <w:pPr>
              <w:pStyle w:val="AuflistungmitCheckbox"/>
            </w:pPr>
            <w:r w:rsidRPr="00B778F4">
              <w:fldChar w:fldCharType="begin">
                <w:ffData>
                  <w:name w:val="Kontrollkästchen1"/>
                  <w:enabled/>
                  <w:calcOnExit w:val="0"/>
                  <w:checkBox>
                    <w:sizeAuto/>
                    <w:default w:val="0"/>
                  </w:checkBox>
                </w:ffData>
              </w:fldChar>
            </w:r>
            <w:r w:rsidR="00F376A3" w:rsidRPr="00B778F4">
              <w:instrText xml:space="preserve"> FORMCHECKBOX </w:instrText>
            </w:r>
            <w:r w:rsidR="00584FFB">
              <w:fldChar w:fldCharType="separate"/>
            </w:r>
            <w:r w:rsidRPr="00B778F4">
              <w:fldChar w:fldCharType="end"/>
            </w:r>
            <w:r w:rsidR="00F376A3" w:rsidRPr="00B778F4">
              <w:tab/>
              <w:t xml:space="preserve">Brève description de la structure de l’entreprise en quelques phrases; lorsqu’il existe déjà de la documentation à ce sujet, elle peut être annexée en lieu et place de la description. Si la structure de l’entreprise est aussi décrite p. ex. sur un site internet, il est également possible d’indiquer le lien vers la page y relative. </w:t>
            </w:r>
          </w:p>
          <w:p w14:paraId="7037BD7B" w14:textId="77777777" w:rsidR="00F376A3" w:rsidRDefault="003714FF" w:rsidP="00D72126">
            <w:pPr>
              <w:pStyle w:val="AuflistungmitCheckbox"/>
            </w:pPr>
            <w:r w:rsidRPr="00B778F4">
              <w:fldChar w:fldCharType="begin">
                <w:ffData>
                  <w:name w:val="Kontrollkästchen1"/>
                  <w:enabled/>
                  <w:calcOnExit w:val="0"/>
                  <w:checkBox>
                    <w:sizeAuto/>
                    <w:default w:val="0"/>
                  </w:checkBox>
                </w:ffData>
              </w:fldChar>
            </w:r>
            <w:bookmarkStart w:id="40" w:name="Kontrollkästchen1"/>
            <w:r w:rsidR="00F376A3" w:rsidRPr="00B778F4">
              <w:instrText xml:space="preserve"> FORMCHECKBOX </w:instrText>
            </w:r>
            <w:r w:rsidR="00584FFB">
              <w:fldChar w:fldCharType="separate"/>
            </w:r>
            <w:r w:rsidRPr="00B778F4">
              <w:fldChar w:fldCharType="end"/>
            </w:r>
            <w:bookmarkEnd w:id="40"/>
            <w:r w:rsidR="00F376A3" w:rsidRPr="00B778F4">
              <w:tab/>
              <w:t>Description du secteur d’activités du site dont on analyse les potentiels et, si disponible, des principaux produits fabriqués.</w:t>
            </w:r>
          </w:p>
          <w:bookmarkStart w:id="41" w:name="_DV_C274"/>
          <w:p w14:paraId="256D1C3C" w14:textId="77777777" w:rsidR="00F376A3" w:rsidRPr="00FB28EB" w:rsidRDefault="003714FF" w:rsidP="00D72126">
            <w:pPr>
              <w:pStyle w:val="AuflistungmitCheckbox"/>
            </w:pPr>
            <w:r w:rsidRPr="00FB28EB">
              <w:rPr>
                <w:rStyle w:val="DeltaViewInsertion"/>
                <w:rFonts w:cs="Arial"/>
                <w:color w:val="auto"/>
                <w:szCs w:val="26"/>
                <w:u w:val="none"/>
              </w:rPr>
              <w:fldChar w:fldCharType="begin">
                <w:ffData>
                  <w:name w:val="Kontrollkästchen1"/>
                  <w:enabled/>
                  <w:calcOnExit w:val="0"/>
                  <w:checkBox>
                    <w:sizeAuto/>
                    <w:default w:val="0"/>
                  </w:checkBox>
                </w:ffData>
              </w:fldChar>
            </w:r>
            <w:r w:rsidR="00F376A3" w:rsidRPr="00FB28EB">
              <w:rPr>
                <w:rStyle w:val="DeltaViewInsertion"/>
                <w:rFonts w:cs="Arial"/>
                <w:color w:val="auto"/>
                <w:szCs w:val="26"/>
                <w:u w:val="none"/>
              </w:rPr>
              <w:instrText xml:space="preserve"> FORMCHECKBOX </w:instrText>
            </w:r>
            <w:r w:rsidR="00584FFB">
              <w:rPr>
                <w:rStyle w:val="DeltaViewInsertion"/>
                <w:rFonts w:cs="Arial"/>
                <w:color w:val="auto"/>
                <w:szCs w:val="26"/>
                <w:u w:val="none"/>
              </w:rPr>
            </w:r>
            <w:r w:rsidR="00584FFB">
              <w:rPr>
                <w:rStyle w:val="DeltaViewInsertion"/>
                <w:rFonts w:cs="Arial"/>
                <w:color w:val="auto"/>
                <w:szCs w:val="26"/>
                <w:u w:val="none"/>
              </w:rPr>
              <w:fldChar w:fldCharType="separate"/>
            </w:r>
            <w:r w:rsidRPr="00FB28EB">
              <w:rPr>
                <w:rStyle w:val="DeltaViewInsertion"/>
                <w:rFonts w:cs="Arial"/>
                <w:color w:val="auto"/>
                <w:szCs w:val="26"/>
                <w:u w:val="none"/>
              </w:rPr>
              <w:fldChar w:fldCharType="end"/>
            </w:r>
            <w:bookmarkStart w:id="42" w:name="_DV_C275"/>
            <w:bookmarkEnd w:id="41"/>
            <w:r w:rsidR="00F376A3" w:rsidRPr="00FB28EB">
              <w:rPr>
                <w:rStyle w:val="DeltaViewInsertion"/>
                <w:rFonts w:cs="Arial"/>
                <w:color w:val="auto"/>
                <w:szCs w:val="26"/>
                <w:u w:val="none"/>
              </w:rPr>
              <w:tab/>
              <w:t>Les entreprises qui soumettent à l’OFEV une demande d’exemption de la taxe sur le CO</w:t>
            </w:r>
            <w:r w:rsidR="00F376A3" w:rsidRPr="00FB28EB">
              <w:rPr>
                <w:rStyle w:val="DeltaViewInsertion"/>
                <w:rFonts w:cs="Arial"/>
                <w:color w:val="auto"/>
                <w:szCs w:val="26"/>
                <w:u w:val="none"/>
                <w:vertAlign w:val="subscript"/>
              </w:rPr>
              <w:t xml:space="preserve">2 </w:t>
            </w:r>
            <w:r w:rsidR="006903CF">
              <w:rPr>
                <w:rStyle w:val="DeltaViewInsertion"/>
                <w:rFonts w:cs="Arial"/>
                <w:color w:val="auto"/>
                <w:szCs w:val="26"/>
                <w:u w:val="none"/>
              </w:rPr>
              <w:t xml:space="preserve">ou qui soumettent à l’OFEN une demande de remboursement du supplément </w:t>
            </w:r>
            <w:r w:rsidR="00F376A3" w:rsidRPr="00FB28EB">
              <w:rPr>
                <w:rStyle w:val="DeltaViewInsertion"/>
                <w:rFonts w:cs="Arial"/>
                <w:color w:val="auto"/>
                <w:szCs w:val="26"/>
                <w:u w:val="none"/>
              </w:rPr>
              <w:t xml:space="preserve">ne doivent pas dupliquer les données de base sur l’entreprise et sur le lieu de production figurant dans la demande. </w:t>
            </w:r>
            <w:bookmarkEnd w:id="42"/>
          </w:p>
        </w:tc>
      </w:tr>
      <w:tr w:rsidR="00F376A3" w:rsidRPr="00F82B1E" w14:paraId="70A3657D" w14:textId="77777777" w:rsidTr="00FD6355">
        <w:trPr>
          <w:cantSplit/>
        </w:trPr>
        <w:tc>
          <w:tcPr>
            <w:tcW w:w="2071" w:type="dxa"/>
            <w:shd w:val="clear" w:color="auto" w:fill="F2F2F2"/>
          </w:tcPr>
          <w:p w14:paraId="0072C2A3" w14:textId="77777777" w:rsidR="00F376A3" w:rsidRDefault="00F376A3" w:rsidP="00401BD0">
            <w:pPr>
              <w:pStyle w:val="Tabellentitel"/>
              <w:spacing w:line="240" w:lineRule="auto"/>
              <w:ind w:left="0" w:right="0"/>
            </w:pPr>
            <w:r w:rsidRPr="00B778F4">
              <w:lastRenderedPageBreak/>
              <w:t>Aide</w:t>
            </w:r>
          </w:p>
        </w:tc>
        <w:tc>
          <w:tcPr>
            <w:tcW w:w="7343" w:type="dxa"/>
            <w:shd w:val="clear" w:color="auto" w:fill="F2F2F2"/>
          </w:tcPr>
          <w:p w14:paraId="4DA1A0AF" w14:textId="77777777" w:rsidR="00F376A3" w:rsidRDefault="00F376A3" w:rsidP="00D72126">
            <w:pPr>
              <w:pStyle w:val="AuflistungHilfestellung"/>
            </w:pPr>
            <w:r w:rsidRPr="00B778F4">
              <w:t xml:space="preserve">Vous trouverez des informations sur le code NOGA 2008 sur </w:t>
            </w:r>
            <w:hyperlink r:id="rId18" w:history="1">
              <w:r>
                <w:rPr>
                  <w:rStyle w:val="Hyperlink"/>
                </w:rPr>
                <w:t>http://www.bfs.admin.ch/bfs/portal/fr/index/infothek/nomenklaturen/blank/blank/noga0/questions_frequentes.0003.html</w:t>
              </w:r>
            </w:hyperlink>
          </w:p>
          <w:p w14:paraId="4C9E3FA1" w14:textId="77777777" w:rsidR="00F376A3" w:rsidRDefault="00F376A3" w:rsidP="00D72126">
            <w:pPr>
              <w:pStyle w:val="AuflistungHilfestellung"/>
            </w:pPr>
            <w:r w:rsidRPr="00B778F4">
              <w:t xml:space="preserve">Vous pouvez télécharger la nomenclature NOGA 2008 sur </w:t>
            </w:r>
            <w:hyperlink r:id="rId19" w:history="1">
              <w:r>
                <w:rPr>
                  <w:rStyle w:val="Hyperlink"/>
                </w:rPr>
                <w:t>http://www.bfs.admin.ch/bfs/portal/fr/index/infothek/nomenklaturen/blank/blank/noga0/revision_noga_2007.html</w:t>
              </w:r>
            </w:hyperlink>
            <w:r w:rsidRPr="00B778F4">
              <w:t xml:space="preserve"> </w:t>
            </w:r>
          </w:p>
          <w:p w14:paraId="6DFBD190" w14:textId="77777777" w:rsidR="00F376A3" w:rsidRDefault="00F376A3" w:rsidP="00D72126">
            <w:pPr>
              <w:pStyle w:val="AuflistungHilfestellung"/>
            </w:pPr>
            <w:r w:rsidRPr="00B778F4">
              <w:t xml:space="preserve">Vous trouverez des informations sur le numéro d’identification des entreprises (numéro IDE) sur </w:t>
            </w:r>
            <w:hyperlink r:id="rId20" w:history="1">
              <w:r>
                <w:rPr>
                  <w:rStyle w:val="Hyperlink"/>
                </w:rPr>
                <w:t>http://www.bfs.admin.ch/bfs/portal/fr/index/themen/00/05/blank/03.html</w:t>
              </w:r>
            </w:hyperlink>
          </w:p>
        </w:tc>
      </w:tr>
    </w:tbl>
    <w:p w14:paraId="47796711" w14:textId="77777777" w:rsidR="006A17DD" w:rsidRPr="00B4595A" w:rsidRDefault="00F376A3" w:rsidP="000073BF">
      <w:pPr>
        <w:pStyle w:val="berschrift2"/>
      </w:pPr>
      <w:bookmarkStart w:id="43" w:name="_Toc347303568"/>
      <w:bookmarkStart w:id="44" w:name="_Toc347853253"/>
      <w:bookmarkStart w:id="45" w:name="_Toc354127699"/>
      <w:bookmarkStart w:id="46" w:name="_Toc421696268"/>
      <w:r w:rsidRPr="00B778F4">
        <w:t>Modifications juridiques (prévues) de l’entreprise</w:t>
      </w:r>
      <w:bookmarkEnd w:id="43"/>
      <w:bookmarkEnd w:id="44"/>
      <w:bookmarkEnd w:id="45"/>
      <w:bookmarkEnd w:id="46"/>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09"/>
        <w:gridCol w:w="7487"/>
      </w:tblGrid>
      <w:tr w:rsidR="00F376A3" w:rsidRPr="00F82B1E" w14:paraId="74053D8D" w14:textId="77777777" w:rsidTr="00936B78">
        <w:trPr>
          <w:cantSplit/>
        </w:trPr>
        <w:tc>
          <w:tcPr>
            <w:tcW w:w="2209" w:type="dxa"/>
            <w:shd w:val="clear" w:color="auto" w:fill="auto"/>
          </w:tcPr>
          <w:p w14:paraId="1773DE5B" w14:textId="77777777" w:rsidR="00F376A3" w:rsidRDefault="00F376A3" w:rsidP="0043091F">
            <w:pPr>
              <w:pStyle w:val="Tabellentitel"/>
              <w:spacing w:line="240" w:lineRule="auto"/>
              <w:ind w:left="0" w:right="0"/>
            </w:pPr>
            <w:r w:rsidRPr="00B778F4">
              <w:t>Introduction</w:t>
            </w:r>
          </w:p>
        </w:tc>
        <w:tc>
          <w:tcPr>
            <w:tcW w:w="7487" w:type="dxa"/>
            <w:tcBorders>
              <w:bottom w:val="single" w:sz="4" w:space="0" w:color="auto"/>
            </w:tcBorders>
            <w:shd w:val="clear" w:color="auto" w:fill="auto"/>
          </w:tcPr>
          <w:p w14:paraId="5326011B" w14:textId="77777777" w:rsidR="00F376A3" w:rsidRPr="00F376A3" w:rsidRDefault="00F376A3" w:rsidP="0043091F">
            <w:pPr>
              <w:spacing w:before="60"/>
              <w:ind w:left="0"/>
              <w:rPr>
                <w:lang w:val="fr-CH"/>
              </w:rPr>
            </w:pPr>
            <w:r w:rsidRPr="00F376A3">
              <w:rPr>
                <w:lang w:val="fr-CH"/>
              </w:rPr>
              <w:t>On indiquera ici les modifications juridiques prévues de l’entreprise telles que fusion, scission, transformation, transfert de patrimoine ou modifications de l’activité.</w:t>
            </w:r>
          </w:p>
        </w:tc>
      </w:tr>
      <w:tr w:rsidR="00F376A3" w:rsidRPr="00936B78" w14:paraId="0CEBAACD" w14:textId="77777777" w:rsidTr="00936B78">
        <w:trPr>
          <w:cantSplit/>
        </w:trPr>
        <w:tc>
          <w:tcPr>
            <w:tcW w:w="2209" w:type="dxa"/>
            <w:shd w:val="clear" w:color="auto" w:fill="auto"/>
          </w:tcPr>
          <w:p w14:paraId="081734C6" w14:textId="77777777" w:rsidR="00F376A3" w:rsidRDefault="00F376A3" w:rsidP="0043091F">
            <w:pPr>
              <w:pStyle w:val="Tabellentitel"/>
              <w:spacing w:line="240" w:lineRule="auto"/>
              <w:ind w:left="0" w:right="0"/>
            </w:pPr>
            <w:r w:rsidRPr="00B778F4">
              <w:t xml:space="preserve">Description </w:t>
            </w:r>
            <w:r w:rsidR="00FB28EB">
              <w:rPr>
                <w:u w:val="single"/>
              </w:rPr>
              <w:br/>
            </w:r>
            <w:r w:rsidRPr="00B778F4">
              <w:t>générale</w:t>
            </w:r>
          </w:p>
        </w:tc>
        <w:tc>
          <w:tcPr>
            <w:tcW w:w="7487" w:type="dxa"/>
            <w:shd w:val="clear" w:color="auto" w:fill="B9DAFF"/>
          </w:tcPr>
          <w:p w14:paraId="7D504ECB" w14:textId="77777777" w:rsidR="00F376A3" w:rsidRDefault="00F376A3" w:rsidP="0043091F">
            <w:pPr>
              <w:spacing w:before="60"/>
              <w:ind w:left="0"/>
            </w:pPr>
            <w:r w:rsidRPr="00B778F4">
              <w:t>Aucune</w:t>
            </w:r>
          </w:p>
        </w:tc>
      </w:tr>
      <w:tr w:rsidR="006A17DD" w:rsidRPr="00F82B1E" w14:paraId="2609E39F" w14:textId="77777777" w:rsidTr="00936B78">
        <w:trPr>
          <w:cantSplit/>
        </w:trPr>
        <w:tc>
          <w:tcPr>
            <w:tcW w:w="2209" w:type="dxa"/>
            <w:shd w:val="clear" w:color="auto" w:fill="auto"/>
          </w:tcPr>
          <w:p w14:paraId="48042110" w14:textId="77777777" w:rsidR="006A17DD" w:rsidRPr="00936B78" w:rsidRDefault="006A17DD" w:rsidP="0043091F">
            <w:pPr>
              <w:pStyle w:val="Tabellentitel"/>
              <w:spacing w:line="240" w:lineRule="auto"/>
              <w:ind w:left="0" w:right="0"/>
            </w:pPr>
            <w:r w:rsidRPr="00936B78">
              <w:t>Anforderungen</w:t>
            </w:r>
          </w:p>
        </w:tc>
        <w:tc>
          <w:tcPr>
            <w:tcW w:w="7487" w:type="dxa"/>
            <w:shd w:val="clear" w:color="auto" w:fill="auto"/>
          </w:tcPr>
          <w:p w14:paraId="61752B31" w14:textId="77777777" w:rsidR="00F65A08" w:rsidRPr="000D5277" w:rsidRDefault="003714FF" w:rsidP="00F65A08">
            <w:pPr>
              <w:pStyle w:val="AuflistungmitCheckbox"/>
            </w:pPr>
            <w:r w:rsidRPr="00936B78">
              <w:fldChar w:fldCharType="begin">
                <w:ffData>
                  <w:name w:val="Kontrollkästchen1"/>
                  <w:enabled/>
                  <w:calcOnExit w:val="0"/>
                  <w:checkBox>
                    <w:sizeAuto/>
                    <w:default w:val="0"/>
                  </w:checkBox>
                </w:ffData>
              </w:fldChar>
            </w:r>
            <w:r w:rsidR="006C28D8" w:rsidRPr="00AC4033">
              <w:instrText xml:space="preserve"> FORMCHECKBOX </w:instrText>
            </w:r>
            <w:r w:rsidR="00584FFB">
              <w:fldChar w:fldCharType="separate"/>
            </w:r>
            <w:r w:rsidRPr="00936B78">
              <w:fldChar w:fldCharType="end"/>
            </w:r>
            <w:r w:rsidR="006C28D8" w:rsidRPr="00FE38EE">
              <w:tab/>
            </w:r>
            <w:r w:rsidR="00F65A08" w:rsidRPr="000F3020">
              <w:t>Les entreprises avec une exemption de la taxe sur le CO</w:t>
            </w:r>
            <w:r w:rsidR="00F65A08" w:rsidRPr="00FE38EE">
              <w:rPr>
                <w:vertAlign w:val="subscript"/>
              </w:rPr>
              <w:t>2</w:t>
            </w:r>
            <w:r w:rsidR="00F65A08" w:rsidRPr="000F3020">
              <w:t xml:space="preserve"> doivent annoncer à l’OFEV tous les changements à l’intérieur du périmètre d’exemption </w:t>
            </w:r>
            <w:r w:rsidR="00F65A08">
              <w:t>susceptibles d’</w:t>
            </w:r>
            <w:r w:rsidR="00F65A08" w:rsidRPr="000F3020">
              <w:t xml:space="preserve">avoir un impact sur l’engagement de réduction des émissions (art. </w:t>
            </w:r>
            <w:r w:rsidR="00F65A08">
              <w:t>78 ordonnance sur le CO</w:t>
            </w:r>
            <w:r w:rsidR="00F65A08" w:rsidRPr="00FE38EE">
              <w:rPr>
                <w:vertAlign w:val="subscript"/>
              </w:rPr>
              <w:t>2</w:t>
            </w:r>
            <w:r w:rsidR="00F65A08">
              <w:t xml:space="preserve">). </w:t>
            </w:r>
          </w:p>
          <w:p w14:paraId="0E2B1679" w14:textId="566FEC70" w:rsidR="00A51583" w:rsidRPr="00FE38EE" w:rsidRDefault="00F65A08" w:rsidP="00D72126">
            <w:pPr>
              <w:pStyle w:val="AuflistungmitCheckbox"/>
            </w:pPr>
            <w:r w:rsidRPr="00936B78">
              <w:fldChar w:fldCharType="begin">
                <w:ffData>
                  <w:name w:val="Kontrollkästchen1"/>
                  <w:enabled/>
                  <w:calcOnExit w:val="0"/>
                  <w:checkBox>
                    <w:sizeAuto/>
                    <w:default w:val="0"/>
                  </w:checkBox>
                </w:ffData>
              </w:fldChar>
            </w:r>
            <w:r w:rsidRPr="000F3020">
              <w:instrText xml:space="preserve"> FORMCHECKBOX </w:instrText>
            </w:r>
            <w:r w:rsidR="00584FFB">
              <w:fldChar w:fldCharType="separate"/>
            </w:r>
            <w:r w:rsidRPr="00936B78">
              <w:fldChar w:fldCharType="end"/>
            </w:r>
            <w:r w:rsidRPr="000F3020">
              <w:tab/>
              <w:t>Toutes les autres données ne sont pas obligatoires.</w:t>
            </w:r>
          </w:p>
        </w:tc>
      </w:tr>
    </w:tbl>
    <w:p w14:paraId="646DFF0F" w14:textId="77777777" w:rsidR="00E54077" w:rsidRPr="00FE38EE" w:rsidRDefault="00E54077" w:rsidP="00595461">
      <w:pPr>
        <w:rPr>
          <w:lang w:val="fr-CH"/>
        </w:rPr>
      </w:pPr>
    </w:p>
    <w:p w14:paraId="6ADEDA68" w14:textId="77777777" w:rsidR="00293C0D" w:rsidRPr="00B4595A" w:rsidRDefault="00F425D3" w:rsidP="000073BF">
      <w:pPr>
        <w:pStyle w:val="berschrift2"/>
      </w:pPr>
      <w:bookmarkStart w:id="47" w:name="_Toc347303569"/>
      <w:bookmarkStart w:id="48" w:name="_Toc347853254"/>
      <w:bookmarkStart w:id="49" w:name="_Toc354127700"/>
      <w:bookmarkStart w:id="50" w:name="_Toc421696269"/>
      <w:r w:rsidRPr="00B70AE8">
        <w:t>Modifications prévues des procédés/capacités, projets de transformation</w:t>
      </w:r>
      <w:bookmarkEnd w:id="47"/>
      <w:bookmarkEnd w:id="48"/>
      <w:bookmarkEnd w:id="49"/>
      <w:bookmarkEnd w:id="50"/>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F425D3" w:rsidRPr="00F82B1E" w14:paraId="04C01674" w14:textId="77777777" w:rsidTr="00F425D3">
        <w:trPr>
          <w:cantSplit/>
        </w:trPr>
        <w:tc>
          <w:tcPr>
            <w:tcW w:w="2181" w:type="dxa"/>
            <w:tcBorders>
              <w:bottom w:val="single" w:sz="4" w:space="0" w:color="auto"/>
            </w:tcBorders>
            <w:shd w:val="clear" w:color="auto" w:fill="F2F2F2"/>
          </w:tcPr>
          <w:p w14:paraId="026DC092" w14:textId="77777777" w:rsidR="00F425D3" w:rsidRDefault="00F425D3" w:rsidP="0043091F">
            <w:pPr>
              <w:pStyle w:val="Tabellentitel"/>
              <w:spacing w:line="240" w:lineRule="auto"/>
              <w:ind w:left="0" w:right="0"/>
            </w:pPr>
            <w:r w:rsidRPr="00B70AE8">
              <w:t>Introduction</w:t>
            </w:r>
          </w:p>
        </w:tc>
        <w:tc>
          <w:tcPr>
            <w:tcW w:w="7515" w:type="dxa"/>
            <w:tcBorders>
              <w:bottom w:val="single" w:sz="4" w:space="0" w:color="auto"/>
            </w:tcBorders>
            <w:shd w:val="clear" w:color="auto" w:fill="F2F2F2"/>
          </w:tcPr>
          <w:p w14:paraId="47814D06" w14:textId="77777777" w:rsidR="00F425D3" w:rsidRPr="00F425D3" w:rsidRDefault="00F425D3" w:rsidP="005571A9">
            <w:pPr>
              <w:ind w:left="0"/>
              <w:rPr>
                <w:lang w:val="fr-CH"/>
              </w:rPr>
            </w:pPr>
            <w:r w:rsidRPr="00F425D3">
              <w:rPr>
                <w:lang w:val="fr-CH"/>
              </w:rPr>
              <w:t xml:space="preserve">On décrit dans le tableau suivant les modifications prévues des procédés/capacités ou les projets de transformation qui auront un impact sur la future consommation d’énergie. </w:t>
            </w:r>
          </w:p>
          <w:p w14:paraId="4674AA8F" w14:textId="77777777" w:rsidR="00F425D3" w:rsidRPr="00F425D3" w:rsidRDefault="00F425D3" w:rsidP="005571A9">
            <w:pPr>
              <w:ind w:left="0"/>
              <w:rPr>
                <w:lang w:val="fr-CH"/>
              </w:rPr>
            </w:pPr>
            <w:r w:rsidRPr="00F425D3">
              <w:rPr>
                <w:lang w:val="fr-CH"/>
              </w:rPr>
              <w:t>D’une part, les données servent à identifier le potentiel d’optimisation qui pourrait résulter des modifications des procédés ou des transformations. D’autre part, on présente la future situation énergétique de l’entreprise.</w:t>
            </w:r>
          </w:p>
        </w:tc>
      </w:tr>
      <w:tr w:rsidR="00550B6A" w:rsidRPr="00F82B1E" w14:paraId="2C722ED1" w14:textId="77777777" w:rsidTr="00F425D3">
        <w:trPr>
          <w:cantSplit/>
        </w:trPr>
        <w:tc>
          <w:tcPr>
            <w:tcW w:w="9696" w:type="dxa"/>
            <w:gridSpan w:val="2"/>
            <w:tcBorders>
              <w:bottom w:val="single" w:sz="4" w:space="0" w:color="auto"/>
            </w:tcBorders>
          </w:tcPr>
          <w:p w14:paraId="582A2633" w14:textId="77777777" w:rsidR="00550B6A" w:rsidRPr="00936B78" w:rsidRDefault="00C47AA9" w:rsidP="00423290">
            <w:pPr>
              <w:pStyle w:val="Bild"/>
              <w:ind w:left="0"/>
            </w:pPr>
            <w:r>
              <w:drawing>
                <wp:inline distT="0" distB="0" distL="0" distR="0" wp14:anchorId="1283E592" wp14:editId="690ACC1B">
                  <wp:extent cx="6085205" cy="725170"/>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6085205" cy="725170"/>
                          </a:xfrm>
                          <a:prstGeom prst="rect">
                            <a:avLst/>
                          </a:prstGeom>
                          <a:noFill/>
                          <a:ln w="9525">
                            <a:noFill/>
                            <a:miter lim="800000"/>
                            <a:headEnd/>
                            <a:tailEnd/>
                          </a:ln>
                        </pic:spPr>
                      </pic:pic>
                    </a:graphicData>
                  </a:graphic>
                </wp:inline>
              </w:drawing>
            </w:r>
          </w:p>
          <w:p w14:paraId="640845FF" w14:textId="77777777" w:rsidR="00550B6A" w:rsidRPr="00936B78" w:rsidRDefault="00F425D3" w:rsidP="00573B08">
            <w:pPr>
              <w:pStyle w:val="BildTabellenbeschriftung"/>
            </w:pPr>
            <w:bookmarkStart w:id="51" w:name="_Toc354127731"/>
            <w:bookmarkStart w:id="52" w:name="_Toc421696298"/>
            <w:r w:rsidRPr="00B70AE8">
              <w:t xml:space="preserve">Tableau </w:t>
            </w:r>
            <w:r w:rsidR="003714FF">
              <w:rPr>
                <w:noProof w:val="0"/>
              </w:rPr>
              <w:fldChar w:fldCharType="begin"/>
            </w:r>
            <w:r w:rsidR="00573B08">
              <w:rPr>
                <w:noProof w:val="0"/>
              </w:rPr>
              <w:instrText xml:space="preserve"> SEQ Tabelle \* ARABIC </w:instrText>
            </w:r>
            <w:r w:rsidR="003714FF">
              <w:rPr>
                <w:noProof w:val="0"/>
              </w:rPr>
              <w:fldChar w:fldCharType="separate"/>
            </w:r>
            <w:r w:rsidR="00FD6355">
              <w:t>2</w:t>
            </w:r>
            <w:r w:rsidR="003714FF">
              <w:rPr>
                <w:noProof w:val="0"/>
              </w:rPr>
              <w:fldChar w:fldCharType="end"/>
            </w:r>
            <w:r w:rsidRPr="00B70AE8">
              <w:t xml:space="preserve"> (modifications des procédés/capacités, projets de transformation)</w:t>
            </w:r>
            <w:bookmarkEnd w:id="51"/>
            <w:bookmarkEnd w:id="52"/>
          </w:p>
        </w:tc>
      </w:tr>
      <w:tr w:rsidR="00F425D3" w:rsidRPr="00936B78" w14:paraId="792CF712" w14:textId="77777777" w:rsidTr="00F425D3">
        <w:trPr>
          <w:cantSplit/>
        </w:trPr>
        <w:tc>
          <w:tcPr>
            <w:tcW w:w="2181" w:type="dxa"/>
          </w:tcPr>
          <w:p w14:paraId="337ABFF9" w14:textId="77777777" w:rsidR="00F425D3" w:rsidRDefault="00F425D3" w:rsidP="005571A9">
            <w:pPr>
              <w:pStyle w:val="Tabellentitel"/>
              <w:spacing w:line="240" w:lineRule="auto"/>
              <w:ind w:left="0" w:right="0"/>
            </w:pPr>
            <w:r w:rsidRPr="00B70AE8">
              <w:t xml:space="preserve">Description </w:t>
            </w:r>
            <w:r w:rsidR="00FB28EB">
              <w:rPr>
                <w:u w:val="single"/>
              </w:rPr>
              <w:br/>
            </w:r>
            <w:r w:rsidRPr="00B70AE8">
              <w:t>générale</w:t>
            </w:r>
          </w:p>
        </w:tc>
        <w:tc>
          <w:tcPr>
            <w:tcW w:w="7515" w:type="dxa"/>
            <w:tcBorders>
              <w:bottom w:val="single" w:sz="4" w:space="0" w:color="auto"/>
            </w:tcBorders>
            <w:shd w:val="clear" w:color="auto" w:fill="B9DAFF"/>
          </w:tcPr>
          <w:p w14:paraId="07238834" w14:textId="77777777" w:rsidR="00F425D3" w:rsidRDefault="00F425D3" w:rsidP="005571A9">
            <w:pPr>
              <w:ind w:left="0"/>
            </w:pPr>
            <w:r w:rsidRPr="00B70AE8">
              <w:t>Aucune.</w:t>
            </w:r>
          </w:p>
        </w:tc>
      </w:tr>
      <w:tr w:rsidR="00F425D3" w:rsidRPr="00F82B1E" w14:paraId="50EF011C" w14:textId="77777777" w:rsidTr="00F425D3">
        <w:trPr>
          <w:cantSplit/>
        </w:trPr>
        <w:tc>
          <w:tcPr>
            <w:tcW w:w="2181" w:type="dxa"/>
            <w:tcBorders>
              <w:bottom w:val="single" w:sz="4" w:space="0" w:color="auto"/>
            </w:tcBorders>
          </w:tcPr>
          <w:p w14:paraId="4D0F78FB" w14:textId="77777777" w:rsidR="00F425D3" w:rsidRDefault="00F425D3" w:rsidP="005571A9">
            <w:pPr>
              <w:pStyle w:val="Tabellentitel"/>
              <w:spacing w:line="240" w:lineRule="auto"/>
              <w:ind w:left="0" w:right="0"/>
            </w:pPr>
            <w:r w:rsidRPr="00B70AE8">
              <w:lastRenderedPageBreak/>
              <w:t xml:space="preserve">Description des différents points: </w:t>
            </w:r>
          </w:p>
        </w:tc>
        <w:tc>
          <w:tcPr>
            <w:tcW w:w="7515" w:type="dxa"/>
            <w:tcBorders>
              <w:bottom w:val="single" w:sz="4" w:space="0" w:color="auto"/>
            </w:tcBorders>
            <w:shd w:val="clear" w:color="auto" w:fill="B9DAFF"/>
          </w:tcPr>
          <w:p w14:paraId="65A1105F" w14:textId="77777777" w:rsidR="00F425D3" w:rsidRPr="00423290" w:rsidRDefault="00F425D3" w:rsidP="000D4B44">
            <w:pPr>
              <w:pStyle w:val="NummerierteAufzhlung"/>
              <w:numPr>
                <w:ilvl w:val="0"/>
                <w:numId w:val="14"/>
              </w:numPr>
              <w:rPr>
                <w:lang w:val="fr-CH"/>
              </w:rPr>
            </w:pPr>
            <w:r w:rsidRPr="00423290">
              <w:rPr>
                <w:lang w:val="fr-CH"/>
              </w:rPr>
              <w:t>On estime que la nouvelle installation de lavage de poids lourds nécessitera un échangeur de chaleur d’eau surchauffée (température aller 105 °C) d’une puissance d’env. 10 kW et fonctionnera env. 1’000 h/an.</w:t>
            </w:r>
          </w:p>
          <w:p w14:paraId="6EFDE885" w14:textId="77777777" w:rsidR="00F425D3" w:rsidRDefault="00F425D3" w:rsidP="000D4B44">
            <w:pPr>
              <w:pStyle w:val="NummerierteAufzhlung"/>
              <w:numPr>
                <w:ilvl w:val="0"/>
                <w:numId w:val="4"/>
              </w:numPr>
              <w:rPr>
                <w:lang w:val="fr-CH"/>
              </w:rPr>
            </w:pPr>
            <w:r w:rsidRPr="00B70AE8">
              <w:rPr>
                <w:lang w:val="fr-CH"/>
              </w:rPr>
              <w:t>L’installation de filtration par membrane cross-flow prévue (osmose inverse) traitera 50’000 kg/jour de petit-lait maigre pour le concentrer de 5,6% à 18% de matières sèches (MS). On s’attend à une hausse de la consommation d’électricité (20 kW à env. 1’500 h/an). L’osmose inverse produit env. 35’000 l/jour d’eau d’osmose à près de 40 °C qui pourraient être utilisés à des fins énergétiques.</w:t>
            </w:r>
          </w:p>
          <w:p w14:paraId="1DCE389E" w14:textId="77777777" w:rsidR="00F425D3" w:rsidRDefault="00F425D3" w:rsidP="000D4B44">
            <w:pPr>
              <w:pStyle w:val="NummerierteAufzhlung"/>
              <w:numPr>
                <w:ilvl w:val="0"/>
                <w:numId w:val="4"/>
              </w:numPr>
              <w:rPr>
                <w:lang w:val="fr-CH"/>
              </w:rPr>
            </w:pPr>
            <w:r w:rsidRPr="00B70AE8">
              <w:rPr>
                <w:lang w:val="fr-CH"/>
              </w:rPr>
              <w:t>La conversion envisagée du lait pasteurisé au lait entier UHT augmenterait légèrement la consommation d’énergie thermique car l’échangeur de chaleur pour le lait UHT récupère moins bien la chaleur que l’échangeur de chaleur pour le lait pasteurisé. Il n’est pas encore sûr que cette conversion soit réalisée.</w:t>
            </w:r>
          </w:p>
          <w:p w14:paraId="0B5EDA72" w14:textId="77777777" w:rsidR="00F425D3" w:rsidRDefault="00F425D3" w:rsidP="000D4B44">
            <w:pPr>
              <w:pStyle w:val="NummerierteAufzhlung"/>
              <w:numPr>
                <w:ilvl w:val="0"/>
                <w:numId w:val="4"/>
              </w:numPr>
              <w:rPr>
                <w:lang w:val="fr-CH"/>
              </w:rPr>
            </w:pPr>
            <w:r w:rsidRPr="00B70AE8">
              <w:rPr>
                <w:lang w:val="fr-CH"/>
              </w:rPr>
              <w:t xml:space="preserve">A partir de 2015, il est prévu une nouvelle cuve qui transformera quelque 10’000 l/jour de lait supplémentaires. La cuve, d’une puissance installée prévue d’env.110 kW thermiques, sera chauffée avec de l’eau surchauffée. </w:t>
            </w:r>
          </w:p>
        </w:tc>
      </w:tr>
      <w:tr w:rsidR="00F425D3" w:rsidRPr="00936B78" w14:paraId="6ED58176" w14:textId="77777777" w:rsidTr="00F425D3">
        <w:trPr>
          <w:cantSplit/>
        </w:trPr>
        <w:tc>
          <w:tcPr>
            <w:tcW w:w="2181" w:type="dxa"/>
            <w:shd w:val="clear" w:color="auto" w:fill="F2DBDB"/>
          </w:tcPr>
          <w:p w14:paraId="7C0A63C3" w14:textId="77777777" w:rsidR="00F425D3" w:rsidRDefault="00F425D3" w:rsidP="005571A9">
            <w:pPr>
              <w:pStyle w:val="Tabellentitel"/>
              <w:spacing w:line="240" w:lineRule="auto"/>
              <w:ind w:left="0" w:right="0"/>
            </w:pPr>
            <w:r w:rsidRPr="00B70AE8">
              <w:t>Exigences</w:t>
            </w:r>
          </w:p>
        </w:tc>
        <w:tc>
          <w:tcPr>
            <w:tcW w:w="7515" w:type="dxa"/>
            <w:shd w:val="clear" w:color="auto" w:fill="F2DBDB"/>
          </w:tcPr>
          <w:p w14:paraId="35A232D1" w14:textId="77777777" w:rsidR="00F425D3" w:rsidRDefault="003714FF" w:rsidP="00D72126">
            <w:pPr>
              <w:pStyle w:val="AuflistungmitCheckbox"/>
            </w:pPr>
            <w:r w:rsidRPr="00B70AE8">
              <w:fldChar w:fldCharType="begin">
                <w:ffData>
                  <w:name w:val="Kontrollkästchen1"/>
                  <w:enabled/>
                  <w:calcOnExit w:val="0"/>
                  <w:checkBox>
                    <w:sizeAuto/>
                    <w:default w:val="0"/>
                  </w:checkBox>
                </w:ffData>
              </w:fldChar>
            </w:r>
            <w:r w:rsidR="00F425D3" w:rsidRPr="00B70AE8">
              <w:instrText xml:space="preserve"> FORMCHECKBOX </w:instrText>
            </w:r>
            <w:r w:rsidR="00584FFB">
              <w:fldChar w:fldCharType="separate"/>
            </w:r>
            <w:r w:rsidRPr="00B70AE8">
              <w:fldChar w:fldCharType="end"/>
            </w:r>
            <w:r w:rsidR="00F425D3" w:rsidRPr="00B70AE8">
              <w:tab/>
            </w:r>
            <w:r w:rsidR="00F425D3" w:rsidRPr="00B70AE8">
              <w:rPr>
                <w:b/>
              </w:rPr>
              <w:t>Facultatif:</w:t>
            </w:r>
            <w:r w:rsidR="00F425D3" w:rsidRPr="00B70AE8">
              <w:t xml:space="preserve"> description des modifications prévues des procédés/capacités et des projets de transformation ainsi que de leurs effets (dans la mesure où ils sont connus) sur:</w:t>
            </w:r>
          </w:p>
          <w:p w14:paraId="2A8442E2" w14:textId="77777777" w:rsidR="00F425D3" w:rsidRDefault="00F425D3" w:rsidP="001E043B">
            <w:pPr>
              <w:pStyle w:val="AuflistungmitCheckbox"/>
              <w:numPr>
                <w:ilvl w:val="0"/>
                <w:numId w:val="27"/>
              </w:numPr>
            </w:pPr>
            <w:r w:rsidRPr="00B70AE8">
              <w:t>la consommation d’énergie;</w:t>
            </w:r>
          </w:p>
          <w:p w14:paraId="2F06B277" w14:textId="77777777" w:rsidR="00F425D3" w:rsidRDefault="00F425D3" w:rsidP="001E043B">
            <w:pPr>
              <w:pStyle w:val="AuflistungmitCheckbox"/>
              <w:numPr>
                <w:ilvl w:val="0"/>
                <w:numId w:val="27"/>
              </w:numPr>
            </w:pPr>
            <w:r w:rsidRPr="00B70AE8">
              <w:t>les émissions de gaz à effet de serre;</w:t>
            </w:r>
          </w:p>
          <w:p w14:paraId="2EF95B52" w14:textId="77777777" w:rsidR="00F425D3" w:rsidRDefault="00F425D3" w:rsidP="001E043B">
            <w:pPr>
              <w:pStyle w:val="AuflistungmitCheckbox"/>
              <w:numPr>
                <w:ilvl w:val="0"/>
                <w:numId w:val="27"/>
              </w:numPr>
            </w:pPr>
            <w:r w:rsidRPr="00B70AE8">
              <w:t>le potentiel des rejets de chaleur et</w:t>
            </w:r>
          </w:p>
          <w:p w14:paraId="2F311555" w14:textId="77777777" w:rsidR="00F425D3" w:rsidRDefault="00F425D3" w:rsidP="001E043B">
            <w:pPr>
              <w:pStyle w:val="AuflistungmitCheckbox"/>
              <w:numPr>
                <w:ilvl w:val="0"/>
                <w:numId w:val="27"/>
              </w:numPr>
            </w:pPr>
            <w:r w:rsidRPr="00B70AE8">
              <w:t>la quantité de la production ou la gamme des produits.</w:t>
            </w:r>
          </w:p>
          <w:p w14:paraId="090C2EBB" w14:textId="77777777" w:rsidR="00F425D3" w:rsidRDefault="003714FF" w:rsidP="00D72126">
            <w:pPr>
              <w:pStyle w:val="AuflistungmitCheckbox"/>
            </w:pPr>
            <w:r w:rsidRPr="00B70AE8">
              <w:fldChar w:fldCharType="begin">
                <w:ffData>
                  <w:name w:val="Kontrollkästchen1"/>
                  <w:enabled/>
                  <w:calcOnExit w:val="0"/>
                  <w:checkBox>
                    <w:sizeAuto/>
                    <w:default w:val="0"/>
                  </w:checkBox>
                </w:ffData>
              </w:fldChar>
            </w:r>
            <w:r w:rsidR="00F425D3" w:rsidRPr="00B70AE8">
              <w:instrText xml:space="preserve"> FORMCHECKBOX </w:instrText>
            </w:r>
            <w:r w:rsidR="00584FFB">
              <w:fldChar w:fldCharType="separate"/>
            </w:r>
            <w:r w:rsidRPr="00B70AE8">
              <w:fldChar w:fldCharType="end"/>
            </w:r>
            <w:r w:rsidR="00F425D3" w:rsidRPr="00B70AE8">
              <w:tab/>
            </w:r>
            <w:r w:rsidR="00F425D3" w:rsidRPr="00B70AE8">
              <w:rPr>
                <w:b/>
              </w:rPr>
              <w:t>Facultatif:</w:t>
            </w:r>
            <w:r w:rsidR="00F425D3" w:rsidRPr="00B70AE8">
              <w:t xml:space="preserve"> probabilité et date prévue de réalisation.</w:t>
            </w:r>
          </w:p>
          <w:p w14:paraId="33696F09" w14:textId="77777777" w:rsidR="00F425D3" w:rsidRDefault="003714FF" w:rsidP="00D72126">
            <w:pPr>
              <w:pStyle w:val="AuflistungmitCheckbox"/>
            </w:pPr>
            <w:r w:rsidRPr="00B70AE8">
              <w:fldChar w:fldCharType="begin">
                <w:ffData>
                  <w:name w:val="Kontrollkästchen1"/>
                  <w:enabled/>
                  <w:calcOnExit w:val="0"/>
                  <w:checkBox>
                    <w:sizeAuto/>
                    <w:default w:val="0"/>
                  </w:checkBox>
                </w:ffData>
              </w:fldChar>
            </w:r>
            <w:r w:rsidR="00F425D3" w:rsidRPr="00B70AE8">
              <w:instrText xml:space="preserve"> FORMCHECKBOX </w:instrText>
            </w:r>
            <w:r w:rsidR="00584FFB">
              <w:fldChar w:fldCharType="separate"/>
            </w:r>
            <w:r w:rsidRPr="00B70AE8">
              <w:fldChar w:fldCharType="end"/>
            </w:r>
            <w:r w:rsidR="00F425D3" w:rsidRPr="00B70AE8">
              <w:tab/>
              <w:t xml:space="preserve">La liste des mesures de réduction des émissions de gaz à effet de serre et d’économie d’énergie ne doit pas être dressée ici. Ces mesures doivent être décrites à partir du chapitre 6. </w:t>
            </w:r>
          </w:p>
        </w:tc>
      </w:tr>
      <w:tr w:rsidR="00F425D3" w:rsidRPr="00F82B1E" w14:paraId="01C978BB" w14:textId="77777777" w:rsidTr="00F425D3">
        <w:trPr>
          <w:cantSplit/>
        </w:trPr>
        <w:tc>
          <w:tcPr>
            <w:tcW w:w="2181" w:type="dxa"/>
            <w:shd w:val="clear" w:color="auto" w:fill="F2F2F2"/>
          </w:tcPr>
          <w:p w14:paraId="0FD479DD" w14:textId="77777777" w:rsidR="00F425D3" w:rsidRDefault="00F425D3" w:rsidP="005571A9">
            <w:pPr>
              <w:pStyle w:val="Tabellentitel"/>
              <w:spacing w:line="240" w:lineRule="auto"/>
              <w:ind w:left="0" w:right="0"/>
            </w:pPr>
            <w:r w:rsidRPr="00B70AE8">
              <w:t>Aide</w:t>
            </w:r>
          </w:p>
        </w:tc>
        <w:tc>
          <w:tcPr>
            <w:tcW w:w="7515" w:type="dxa"/>
            <w:shd w:val="clear" w:color="auto" w:fill="F2F2F2"/>
          </w:tcPr>
          <w:p w14:paraId="6553DFA3" w14:textId="77777777" w:rsidR="00F425D3" w:rsidRDefault="00F425D3" w:rsidP="00D72126">
            <w:pPr>
              <w:pStyle w:val="AuflistungHilfestellung"/>
            </w:pPr>
            <w:r w:rsidRPr="00B70AE8">
              <w:t xml:space="preserve">Les points mentionnés ici servent à compléter le rapport afin d’être en mesure d’évaluer l’état de la technique des procédés au sein de l’entreprise. </w:t>
            </w:r>
          </w:p>
          <w:p w14:paraId="5DB74D93" w14:textId="77777777" w:rsidR="00F425D3" w:rsidRDefault="00F425D3" w:rsidP="00D72126">
            <w:pPr>
              <w:pStyle w:val="AuflistungHilfestellung"/>
            </w:pPr>
            <w:r w:rsidRPr="00B70AE8">
              <w:t>La liste des points doit notamment servir à identifier les futurs potentiels de rejets de chaleur et à illustrer les potentiels d’économie réalisables ces prochaines années. P. ex. envisager un consommateur d’eau chaude industrielle supplémentaire peut influer sur la rentabilité des mesures d’utilisation des rejets de chaleur (puissance plus élevée ou temps de fonctionnement plus long).</w:t>
            </w:r>
          </w:p>
          <w:p w14:paraId="5C27E6AE" w14:textId="77777777" w:rsidR="00F425D3" w:rsidRDefault="00F425D3" w:rsidP="00D72126">
            <w:pPr>
              <w:pStyle w:val="AuflistungHilfestellung"/>
            </w:pPr>
            <w:r w:rsidRPr="00B70AE8">
              <w:t>Pour une entreprise exonérée de la taxe sur le CO</w:t>
            </w:r>
            <w:r w:rsidRPr="00B70AE8">
              <w:rPr>
                <w:vertAlign w:val="subscript"/>
              </w:rPr>
              <w:t>2</w:t>
            </w:r>
            <w:r w:rsidRPr="00B70AE8">
              <w:t xml:space="preserve">, les points mentionnés n’ont aucune influence sur la détermination de l’objectif d’émission/de l’objectif fondé sur des mesures qui est défini sur la base de l’historique des données d’émission et des mesures rentables. </w:t>
            </w:r>
          </w:p>
        </w:tc>
      </w:tr>
    </w:tbl>
    <w:p w14:paraId="29295768" w14:textId="77777777" w:rsidR="00293C0D" w:rsidRPr="00F425D3" w:rsidRDefault="00543462" w:rsidP="00401BD0">
      <w:pPr>
        <w:pStyle w:val="berschrift1"/>
        <w:rPr>
          <w:lang w:val="fr-CH"/>
        </w:rPr>
      </w:pPr>
      <w:r w:rsidRPr="00F425D3">
        <w:rPr>
          <w:lang w:val="fr-CH"/>
        </w:rPr>
        <w:br w:type="page"/>
      </w:r>
      <w:bookmarkStart w:id="53" w:name="_Toc347303570"/>
      <w:bookmarkStart w:id="54" w:name="_Toc347853255"/>
      <w:bookmarkStart w:id="55" w:name="_Toc354127701"/>
      <w:bookmarkStart w:id="56" w:name="_Toc421696270"/>
      <w:r w:rsidR="00F425D3" w:rsidRPr="00F425D3">
        <w:rPr>
          <w:lang w:val="fr-CH"/>
        </w:rPr>
        <w:lastRenderedPageBreak/>
        <w:t>Bases Rentabilité et énergie (coûts)</w:t>
      </w:r>
      <w:bookmarkEnd w:id="53"/>
      <w:bookmarkEnd w:id="54"/>
      <w:bookmarkEnd w:id="55"/>
      <w:bookmarkEnd w:id="56"/>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F425D3" w:rsidRPr="00F82B1E" w14:paraId="65254E5F" w14:textId="77777777" w:rsidTr="00F425D3">
        <w:trPr>
          <w:cantSplit/>
        </w:trPr>
        <w:tc>
          <w:tcPr>
            <w:tcW w:w="2181" w:type="dxa"/>
            <w:tcBorders>
              <w:bottom w:val="single" w:sz="4" w:space="0" w:color="auto"/>
            </w:tcBorders>
            <w:shd w:val="clear" w:color="auto" w:fill="F2F2F2"/>
          </w:tcPr>
          <w:p w14:paraId="320AF079" w14:textId="77777777" w:rsidR="00F425D3" w:rsidRPr="00FB28EB" w:rsidRDefault="00F425D3" w:rsidP="005571A9">
            <w:pPr>
              <w:pStyle w:val="Tabellentitel"/>
              <w:spacing w:line="240" w:lineRule="auto"/>
              <w:ind w:left="0" w:right="0"/>
            </w:pPr>
            <w:r w:rsidRPr="00FB28EB">
              <w:t>Introduction</w:t>
            </w:r>
          </w:p>
        </w:tc>
        <w:tc>
          <w:tcPr>
            <w:tcW w:w="7515" w:type="dxa"/>
            <w:tcBorders>
              <w:bottom w:val="single" w:sz="4" w:space="0" w:color="auto"/>
            </w:tcBorders>
            <w:shd w:val="clear" w:color="auto" w:fill="F2F2F2"/>
          </w:tcPr>
          <w:p w14:paraId="68B82B92" w14:textId="2643D072" w:rsidR="00F425D3" w:rsidRPr="00FB28EB" w:rsidRDefault="00F425D3" w:rsidP="00423290">
            <w:pPr>
              <w:ind w:left="0"/>
              <w:rPr>
                <w:lang w:val="fr-CH"/>
              </w:rPr>
            </w:pPr>
            <w:r w:rsidRPr="00FB28EB">
              <w:rPr>
                <w:lang w:val="fr-CH"/>
              </w:rPr>
              <w:t>On décrit dans le tableau suivant les énergies fossiles avec leur densité et les facteurs d’émissions de g</w:t>
            </w:r>
            <w:r w:rsidR="001E043B" w:rsidRPr="00FB28EB">
              <w:rPr>
                <w:lang w:val="fr-CH"/>
              </w:rPr>
              <w:t>az à effet de serre à utiliser.</w:t>
            </w:r>
          </w:p>
          <w:p w14:paraId="7C6C632A" w14:textId="77777777" w:rsidR="00F425D3" w:rsidRPr="00FB28EB" w:rsidRDefault="00F425D3" w:rsidP="00A075FB">
            <w:pPr>
              <w:keepLines/>
              <w:ind w:left="0"/>
              <w:contextualSpacing/>
              <w:rPr>
                <w:lang w:val="fr-CH"/>
              </w:rPr>
            </w:pPr>
            <w:bookmarkStart w:id="57" w:name="_DV_C304"/>
            <w:r w:rsidRPr="00FB28EB">
              <w:rPr>
                <w:rStyle w:val="DeltaViewInsertion"/>
                <w:color w:val="auto"/>
                <w:szCs w:val="26"/>
                <w:u w:val="none"/>
                <w:lang w:val="fr-CH"/>
              </w:rPr>
              <w:t>Si l’analyse des potentiels sert de base à la proposition d’objectif en vue de l’exemption de la taxe sur le CO</w:t>
            </w:r>
            <w:r w:rsidRPr="00FB28EB">
              <w:rPr>
                <w:rStyle w:val="DeltaViewInsertion"/>
                <w:color w:val="auto"/>
                <w:szCs w:val="26"/>
                <w:u w:val="none"/>
                <w:vertAlign w:val="subscript"/>
                <w:lang w:val="fr-CH"/>
              </w:rPr>
              <w:t>2</w:t>
            </w:r>
            <w:r w:rsidRPr="00FB28EB">
              <w:rPr>
                <w:rStyle w:val="DeltaViewInsertion"/>
                <w:color w:val="auto"/>
                <w:szCs w:val="26"/>
                <w:u w:val="none"/>
                <w:lang w:val="fr-CH"/>
              </w:rPr>
              <w:t xml:space="preserve">, il convient d’utiliser les prix de base de l’énergie indiqués dans </w:t>
            </w:r>
            <w:r w:rsidR="00F65A08" w:rsidRPr="00537303">
              <w:rPr>
                <w:lang w:val="fr-CH"/>
              </w:rPr>
              <w:t xml:space="preserve">l’annexe </w:t>
            </w:r>
            <w:r w:rsidR="00F65A08">
              <w:rPr>
                <w:lang w:val="fr-CH"/>
              </w:rPr>
              <w:t xml:space="preserve">C </w:t>
            </w:r>
            <w:r w:rsidR="00F65A08" w:rsidRPr="00537303">
              <w:rPr>
                <w:lang w:val="fr-CH"/>
              </w:rPr>
              <w:t>de</w:t>
            </w:r>
            <w:r w:rsidR="00F65A08" w:rsidRPr="00FB28EB">
              <w:rPr>
                <w:rStyle w:val="DeltaViewInsertion"/>
                <w:color w:val="auto"/>
                <w:szCs w:val="26"/>
                <w:u w:val="none"/>
                <w:lang w:val="fr-CH"/>
              </w:rPr>
              <w:t xml:space="preserve"> </w:t>
            </w:r>
            <w:r w:rsidRPr="00FB28EB">
              <w:rPr>
                <w:rStyle w:val="DeltaViewInsertion"/>
                <w:color w:val="auto"/>
                <w:szCs w:val="26"/>
                <w:u w:val="none"/>
                <w:lang w:val="fr-CH"/>
              </w:rPr>
              <w:t>la Communication «Exemption de la taxe sur le CO</w:t>
            </w:r>
            <w:r w:rsidRPr="00FB28EB">
              <w:rPr>
                <w:rStyle w:val="DeltaViewInsertion"/>
                <w:color w:val="auto"/>
                <w:szCs w:val="26"/>
                <w:u w:val="none"/>
                <w:vertAlign w:val="subscript"/>
                <w:lang w:val="fr-CH"/>
              </w:rPr>
              <w:t>2</w:t>
            </w:r>
            <w:r w:rsidRPr="00FB28EB">
              <w:rPr>
                <w:rStyle w:val="DeltaViewInsertion"/>
                <w:color w:val="auto"/>
                <w:szCs w:val="26"/>
                <w:u w:val="none"/>
                <w:lang w:val="fr-CH"/>
              </w:rPr>
              <w:t xml:space="preserve"> sans échange de quotas d’émissions». Si les prix indiqués diffèrent considérablement et durablement des prix effectifs de l’énergie (taxe sur le CO</w:t>
            </w:r>
            <w:r w:rsidRPr="00FB28EB">
              <w:rPr>
                <w:rStyle w:val="DeltaViewInsertion"/>
                <w:color w:val="auto"/>
                <w:szCs w:val="26"/>
                <w:u w:val="none"/>
                <w:vertAlign w:val="subscript"/>
                <w:lang w:val="fr-CH"/>
              </w:rPr>
              <w:t>2</w:t>
            </w:r>
            <w:r w:rsidRPr="00FB28EB">
              <w:rPr>
                <w:rStyle w:val="DeltaViewInsertion"/>
                <w:color w:val="auto"/>
                <w:szCs w:val="26"/>
                <w:u w:val="none"/>
                <w:lang w:val="fr-CH"/>
              </w:rPr>
              <w:t xml:space="preserve"> incluse) payés par l’entreprise, il est possible d’utiliser ces derniers. Pour les conventions d’objectifs volontaires </w:t>
            </w:r>
            <w:r w:rsidR="003B2C7D">
              <w:rPr>
                <w:rStyle w:val="DeltaViewInsertion"/>
                <w:color w:val="auto"/>
                <w:szCs w:val="26"/>
                <w:u w:val="none"/>
                <w:lang w:val="fr-CH"/>
              </w:rPr>
              <w:t xml:space="preserve">conclues </w:t>
            </w:r>
            <w:r w:rsidRPr="00FB28EB">
              <w:rPr>
                <w:rStyle w:val="DeltaViewInsertion"/>
                <w:color w:val="auto"/>
                <w:szCs w:val="26"/>
                <w:u w:val="none"/>
                <w:lang w:val="fr-CH"/>
              </w:rPr>
              <w:t>avec la Confédération</w:t>
            </w:r>
            <w:r w:rsidR="003B2C7D">
              <w:rPr>
                <w:rStyle w:val="DeltaViewInsertion"/>
                <w:color w:val="auto"/>
                <w:szCs w:val="26"/>
                <w:u w:val="none"/>
                <w:lang w:val="fr-CH"/>
              </w:rPr>
              <w:t xml:space="preserve"> et le remboursement du supplément</w:t>
            </w:r>
            <w:r w:rsidRPr="00FB28EB">
              <w:rPr>
                <w:rStyle w:val="DeltaViewInsertion"/>
                <w:color w:val="auto"/>
                <w:szCs w:val="26"/>
                <w:u w:val="none"/>
                <w:lang w:val="fr-CH"/>
              </w:rPr>
              <w:t xml:space="preserve">, il est possible d’indiquer les prix de l’énergie payés par l’entreprise. </w:t>
            </w:r>
            <w:bookmarkEnd w:id="57"/>
            <w:r w:rsidR="003B2C7D">
              <w:rPr>
                <w:rStyle w:val="DeltaViewInsertion"/>
                <w:color w:val="auto"/>
                <w:szCs w:val="26"/>
                <w:u w:val="none"/>
                <w:lang w:val="fr-CH"/>
              </w:rPr>
              <w:t>Il convient à cet égard de prendre en compte dans le prix de l’énergie la taxe sur le CO</w:t>
            </w:r>
            <w:r w:rsidR="003B2C7D" w:rsidRPr="00FB28EB">
              <w:rPr>
                <w:rStyle w:val="DeltaViewInsertion"/>
                <w:color w:val="auto"/>
                <w:szCs w:val="26"/>
                <w:u w:val="none"/>
                <w:vertAlign w:val="subscript"/>
                <w:lang w:val="fr-CH"/>
              </w:rPr>
              <w:t>2</w:t>
            </w:r>
            <w:r w:rsidR="003B2C7D">
              <w:rPr>
                <w:rStyle w:val="DeltaViewInsertion"/>
                <w:color w:val="auto"/>
                <w:szCs w:val="26"/>
                <w:u w:val="none"/>
                <w:lang w:val="fr-CH"/>
              </w:rPr>
              <w:t xml:space="preserve"> frappant chaque agent énergétique et, s’agissant de l’électricité, le supplément. </w:t>
            </w:r>
            <w:r w:rsidR="00A075FB">
              <w:rPr>
                <w:rStyle w:val="DeltaViewInsertion"/>
                <w:color w:val="auto"/>
                <w:szCs w:val="26"/>
                <w:u w:val="none"/>
                <w:lang w:val="fr-CH"/>
              </w:rPr>
              <w:t xml:space="preserve">En règle générale, les prix de l’énergie doivent être indiqués hors TVA. Les institutions du secteur public, qui ne sont pas concernées par </w:t>
            </w:r>
            <w:r w:rsidR="00A75150">
              <w:rPr>
                <w:rStyle w:val="DeltaViewInsertion"/>
                <w:color w:val="auto"/>
                <w:szCs w:val="26"/>
                <w:u w:val="none"/>
                <w:lang w:val="fr-CH"/>
              </w:rPr>
              <w:t>le remboursement de la TVA, peuvent indiquer les prix de l’énergie TVA incluse.</w:t>
            </w:r>
          </w:p>
        </w:tc>
      </w:tr>
      <w:tr w:rsidR="00543462" w:rsidRPr="00F82B1E" w14:paraId="24085BEE" w14:textId="77777777" w:rsidTr="00F425D3">
        <w:tblPrEx>
          <w:tblCellMar>
            <w:left w:w="70" w:type="dxa"/>
            <w:right w:w="70" w:type="dxa"/>
          </w:tblCellMar>
        </w:tblPrEx>
        <w:trPr>
          <w:cantSplit/>
        </w:trPr>
        <w:tc>
          <w:tcPr>
            <w:tcW w:w="9696" w:type="dxa"/>
            <w:gridSpan w:val="2"/>
            <w:tcBorders>
              <w:bottom w:val="single" w:sz="4" w:space="0" w:color="auto"/>
            </w:tcBorders>
          </w:tcPr>
          <w:p w14:paraId="633C8620" w14:textId="77777777" w:rsidR="00C62C27" w:rsidRPr="00936B78" w:rsidRDefault="00C47AA9" w:rsidP="00F16C61">
            <w:pPr>
              <w:pStyle w:val="BildTabellenbeschriftung"/>
            </w:pPr>
            <w:r>
              <w:rPr>
                <w:lang w:val="de-CH"/>
              </w:rPr>
              <w:drawing>
                <wp:inline distT="0" distB="0" distL="0" distR="0" wp14:anchorId="5E451F3E" wp14:editId="1CCC7BE5">
                  <wp:extent cx="6054090" cy="3357880"/>
                  <wp:effectExtent l="1905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6054090" cy="3357880"/>
                          </a:xfrm>
                          <a:prstGeom prst="rect">
                            <a:avLst/>
                          </a:prstGeom>
                          <a:noFill/>
                          <a:ln w="9525">
                            <a:noFill/>
                            <a:miter lim="800000"/>
                            <a:headEnd/>
                            <a:tailEnd/>
                          </a:ln>
                        </pic:spPr>
                      </pic:pic>
                    </a:graphicData>
                  </a:graphic>
                </wp:inline>
              </w:drawing>
            </w:r>
          </w:p>
          <w:p w14:paraId="23F25DE2" w14:textId="77777777" w:rsidR="00C93505" w:rsidRPr="00F425D3" w:rsidRDefault="00F16C61" w:rsidP="00573B08">
            <w:pPr>
              <w:pStyle w:val="BildTabellenbeschriftung"/>
            </w:pPr>
            <w:bookmarkStart w:id="58" w:name="_Toc421696299"/>
            <w:r w:rsidRPr="00B70AE8">
              <w:t xml:space="preserve">Tableau </w:t>
            </w:r>
            <w:r w:rsidR="00AE6C37">
              <w:fldChar w:fldCharType="begin"/>
            </w:r>
            <w:r w:rsidR="00AE6C37">
              <w:instrText xml:space="preserve"> SEQ Tabelle \* ARABIC </w:instrText>
            </w:r>
            <w:r w:rsidR="00AE6C37">
              <w:fldChar w:fldCharType="separate"/>
            </w:r>
            <w:r w:rsidR="00FD6355">
              <w:t>3</w:t>
            </w:r>
            <w:r w:rsidR="00AE6C37">
              <w:fldChar w:fldCharType="end"/>
            </w:r>
            <w:r w:rsidR="00F425D3" w:rsidRPr="00F425D3">
              <w:t xml:space="preserve"> (énergies et leur coût)</w:t>
            </w:r>
            <w:bookmarkEnd w:id="58"/>
          </w:p>
        </w:tc>
      </w:tr>
      <w:tr w:rsidR="00914E03" w:rsidRPr="00F82B1E" w14:paraId="64744437" w14:textId="77777777" w:rsidTr="00F425D3">
        <w:trPr>
          <w:cantSplit/>
        </w:trPr>
        <w:tc>
          <w:tcPr>
            <w:tcW w:w="9696" w:type="dxa"/>
            <w:gridSpan w:val="2"/>
            <w:tcBorders>
              <w:bottom w:val="single" w:sz="4" w:space="0" w:color="auto"/>
            </w:tcBorders>
          </w:tcPr>
          <w:p w14:paraId="6FBB6F1B" w14:textId="77777777" w:rsidR="00914E03" w:rsidRPr="00936B78" w:rsidRDefault="00C47AA9" w:rsidP="00F16C61">
            <w:pPr>
              <w:pStyle w:val="BildTabellenbeschriftung"/>
            </w:pPr>
            <w:r>
              <w:rPr>
                <w:lang w:val="de-CH"/>
              </w:rPr>
              <w:drawing>
                <wp:inline distT="0" distB="0" distL="0" distR="0" wp14:anchorId="6BB9C905" wp14:editId="5161B3EF">
                  <wp:extent cx="4177665" cy="819785"/>
                  <wp:effectExtent l="1905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4177665" cy="819785"/>
                          </a:xfrm>
                          <a:prstGeom prst="rect">
                            <a:avLst/>
                          </a:prstGeom>
                          <a:noFill/>
                          <a:ln w="9525">
                            <a:noFill/>
                            <a:miter lim="800000"/>
                            <a:headEnd/>
                            <a:tailEnd/>
                          </a:ln>
                        </pic:spPr>
                      </pic:pic>
                    </a:graphicData>
                  </a:graphic>
                </wp:inline>
              </w:drawing>
            </w:r>
          </w:p>
          <w:p w14:paraId="04A2611D" w14:textId="77777777" w:rsidR="00914E03" w:rsidRPr="00936B78" w:rsidRDefault="00757FB5" w:rsidP="00573B08">
            <w:pPr>
              <w:pStyle w:val="BildTabellenbeschriftung"/>
            </w:pPr>
            <w:bookmarkStart w:id="59" w:name="_Toc421696300"/>
            <w:r w:rsidRPr="00757FB5">
              <w:t xml:space="preserve">Tableau </w:t>
            </w:r>
            <w:r w:rsidR="00AE6C37">
              <w:fldChar w:fldCharType="begin"/>
            </w:r>
            <w:r w:rsidR="00AE6C37">
              <w:instrText xml:space="preserve"> SEQ Tabelle \* ARABIC </w:instrText>
            </w:r>
            <w:r w:rsidR="00AE6C37">
              <w:fldChar w:fldCharType="separate"/>
            </w:r>
            <w:r w:rsidR="00FD6355">
              <w:t>4</w:t>
            </w:r>
            <w:r w:rsidR="00AE6C37">
              <w:fldChar w:fldCharType="end"/>
            </w:r>
            <w:r w:rsidRPr="00757FB5">
              <w:t xml:space="preserve"> </w:t>
            </w:r>
            <w:r w:rsidR="00F425D3" w:rsidRPr="00757FB5">
              <w:t>(données de base économiques</w:t>
            </w:r>
            <w:r w:rsidR="00F425D3" w:rsidRPr="00F425D3">
              <w:t>)</w:t>
            </w:r>
            <w:bookmarkEnd w:id="59"/>
          </w:p>
        </w:tc>
      </w:tr>
      <w:tr w:rsidR="009D44C6" w:rsidRPr="00936B78" w14:paraId="23E1F3AF" w14:textId="77777777" w:rsidTr="00F425D3">
        <w:trPr>
          <w:cantSplit/>
        </w:trPr>
        <w:tc>
          <w:tcPr>
            <w:tcW w:w="2181" w:type="dxa"/>
          </w:tcPr>
          <w:p w14:paraId="5B69D20A" w14:textId="77777777" w:rsidR="009D44C6" w:rsidRDefault="009D44C6" w:rsidP="004002A3">
            <w:pPr>
              <w:pStyle w:val="Tabellentitel"/>
              <w:ind w:left="29" w:right="0"/>
            </w:pPr>
            <w:r w:rsidRPr="00B70AE8">
              <w:lastRenderedPageBreak/>
              <w:t>Description générale</w:t>
            </w:r>
          </w:p>
        </w:tc>
        <w:tc>
          <w:tcPr>
            <w:tcW w:w="7515" w:type="dxa"/>
            <w:shd w:val="clear" w:color="auto" w:fill="B9DAFF"/>
          </w:tcPr>
          <w:p w14:paraId="05AB9E3B" w14:textId="77777777" w:rsidR="009D44C6" w:rsidRDefault="009D44C6" w:rsidP="00423290">
            <w:pPr>
              <w:ind w:left="0"/>
            </w:pPr>
            <w:r w:rsidRPr="00B70AE8">
              <w:t>Aucune.</w:t>
            </w:r>
          </w:p>
        </w:tc>
      </w:tr>
      <w:tr w:rsidR="009D44C6" w:rsidRPr="00936B78" w14:paraId="03DF8FA8" w14:textId="77777777" w:rsidTr="00F425D3">
        <w:trPr>
          <w:cantSplit/>
        </w:trPr>
        <w:tc>
          <w:tcPr>
            <w:tcW w:w="2181" w:type="dxa"/>
          </w:tcPr>
          <w:p w14:paraId="2E4E4788" w14:textId="77777777" w:rsidR="009D44C6" w:rsidRDefault="009D44C6" w:rsidP="004002A3">
            <w:pPr>
              <w:pStyle w:val="Tabellentitel"/>
              <w:ind w:left="29"/>
            </w:pPr>
            <w:r w:rsidRPr="00B70AE8">
              <w:t xml:space="preserve">Description des </w:t>
            </w:r>
            <w:r w:rsidRPr="00B70AE8">
              <w:br/>
              <w:t xml:space="preserve">différents points </w:t>
            </w:r>
          </w:p>
        </w:tc>
        <w:tc>
          <w:tcPr>
            <w:tcW w:w="7515" w:type="dxa"/>
            <w:shd w:val="clear" w:color="auto" w:fill="B9DAFF"/>
          </w:tcPr>
          <w:p w14:paraId="0C1B06C6" w14:textId="77777777" w:rsidR="009D44C6" w:rsidRDefault="009D44C6" w:rsidP="001E043B">
            <w:pPr>
              <w:pStyle w:val="NummerierteAufzhlung"/>
              <w:numPr>
                <w:ilvl w:val="0"/>
                <w:numId w:val="28"/>
              </w:numPr>
              <w:tabs>
                <w:tab w:val="left" w:pos="400"/>
              </w:tabs>
              <w:spacing w:after="0"/>
              <w:ind w:left="-26" w:firstLine="0"/>
              <w:rPr>
                <w:lang w:val="fr-CH"/>
              </w:rPr>
            </w:pPr>
            <w:r w:rsidRPr="00B70AE8">
              <w:rPr>
                <w:lang w:val="fr-CH"/>
              </w:rPr>
              <w:t>Aucune.</w:t>
            </w:r>
          </w:p>
        </w:tc>
      </w:tr>
      <w:tr w:rsidR="009D44C6" w:rsidRPr="00F82B1E" w14:paraId="7302DC08" w14:textId="77777777" w:rsidTr="00F425D3">
        <w:trPr>
          <w:cantSplit/>
        </w:trPr>
        <w:tc>
          <w:tcPr>
            <w:tcW w:w="2181" w:type="dxa"/>
            <w:shd w:val="clear" w:color="auto" w:fill="F2DBDB"/>
          </w:tcPr>
          <w:p w14:paraId="3296DC93" w14:textId="77777777" w:rsidR="009D44C6" w:rsidRDefault="009D44C6" w:rsidP="004002A3">
            <w:pPr>
              <w:pStyle w:val="Tabellentitel"/>
              <w:ind w:left="29"/>
            </w:pPr>
            <w:r w:rsidRPr="00B70AE8">
              <w:t>Exigences</w:t>
            </w:r>
          </w:p>
        </w:tc>
        <w:tc>
          <w:tcPr>
            <w:tcW w:w="7515" w:type="dxa"/>
            <w:shd w:val="clear" w:color="auto" w:fill="F2DBDB"/>
          </w:tcPr>
          <w:p w14:paraId="6098C440" w14:textId="77777777" w:rsidR="009D44C6" w:rsidRDefault="003714FF" w:rsidP="00D72126">
            <w:pPr>
              <w:pStyle w:val="AuflistungmitCheckbox"/>
            </w:pPr>
            <w:r w:rsidRPr="00B70AE8">
              <w:fldChar w:fldCharType="begin">
                <w:ffData>
                  <w:name w:val="Kontrollkästchen1"/>
                  <w:enabled/>
                  <w:calcOnExit w:val="0"/>
                  <w:checkBox>
                    <w:sizeAuto/>
                    <w:default w:val="0"/>
                  </w:checkBox>
                </w:ffData>
              </w:fldChar>
            </w:r>
            <w:r w:rsidR="009D44C6" w:rsidRPr="00B70AE8">
              <w:instrText xml:space="preserve"> FORMCHECKBOX </w:instrText>
            </w:r>
            <w:r w:rsidR="00584FFB">
              <w:fldChar w:fldCharType="separate"/>
            </w:r>
            <w:r w:rsidRPr="00B70AE8">
              <w:fldChar w:fldCharType="end"/>
            </w:r>
            <w:r w:rsidR="009D44C6" w:rsidRPr="00B70AE8">
              <w:tab/>
              <w:t>En principe, il faut utiliser les paramètres fixés pour calculer les émissions de gaz à effet de serre et effectuer les calculs relatifs aux effets des mesures.</w:t>
            </w:r>
          </w:p>
          <w:p w14:paraId="5FADA4B6" w14:textId="77777777" w:rsidR="009D44C6" w:rsidRDefault="003714FF" w:rsidP="00D72126">
            <w:pPr>
              <w:pStyle w:val="AuflistungmitCheckbox"/>
            </w:pPr>
            <w:r w:rsidRPr="00B70AE8">
              <w:fldChar w:fldCharType="begin">
                <w:ffData>
                  <w:name w:val="Kontrollkästchen1"/>
                  <w:enabled/>
                  <w:calcOnExit w:val="0"/>
                  <w:checkBox>
                    <w:sizeAuto/>
                    <w:default w:val="0"/>
                  </w:checkBox>
                </w:ffData>
              </w:fldChar>
            </w:r>
            <w:r w:rsidR="009D44C6" w:rsidRPr="00B70AE8">
              <w:instrText xml:space="preserve"> FORMCHECKBOX </w:instrText>
            </w:r>
            <w:r w:rsidR="00584FFB">
              <w:fldChar w:fldCharType="separate"/>
            </w:r>
            <w:r w:rsidRPr="00B70AE8">
              <w:fldChar w:fldCharType="end"/>
            </w:r>
            <w:r w:rsidR="009D44C6" w:rsidRPr="00B70AE8">
              <w:tab/>
              <w:t xml:space="preserve">Une entreprise dont les prix de l’énergie s’écartent considérablement et durablement des prix de l’énergie de base peut utiliser les prix effectifs de l’énergie. A cette fin, elle doit présenter les prix de l’énergie qu’elle a payés les dernières années et les contrats actuels, puis les remettre avec la proposition d’objectif. </w:t>
            </w:r>
          </w:p>
          <w:p w14:paraId="2394D5AD" w14:textId="48A84B95" w:rsidR="008D5390" w:rsidRDefault="008D5390" w:rsidP="00D72126">
            <w:pPr>
              <w:pStyle w:val="AuflistungmitCheckbox"/>
            </w:pPr>
            <w:r w:rsidRPr="00B70AE8">
              <w:fldChar w:fldCharType="begin">
                <w:ffData>
                  <w:name w:val="Kontrollkästchen1"/>
                  <w:enabled/>
                  <w:calcOnExit w:val="0"/>
                  <w:checkBox>
                    <w:sizeAuto/>
                    <w:default w:val="0"/>
                  </w:checkBox>
                </w:ffData>
              </w:fldChar>
            </w:r>
            <w:r w:rsidRPr="00B70AE8">
              <w:instrText xml:space="preserve"> FORMCHECKBOX </w:instrText>
            </w:r>
            <w:r w:rsidR="00584FFB">
              <w:fldChar w:fldCharType="separate"/>
            </w:r>
            <w:r w:rsidRPr="00B70AE8">
              <w:fldChar w:fldCharType="end"/>
            </w:r>
            <w:r w:rsidRPr="00B70AE8">
              <w:tab/>
            </w:r>
            <w:r>
              <w:t xml:space="preserve">S’agissant des conventions d’objectifs volontaires, des conventions d’objectifs universelles et du remboursement du supplément, </w:t>
            </w:r>
            <w:r w:rsidR="00CE71DF">
              <w:t xml:space="preserve">on peut indiquer </w:t>
            </w:r>
            <w:r>
              <w:t xml:space="preserve">les prix de l’énergie </w:t>
            </w:r>
            <w:r w:rsidRPr="00A075FB">
              <w:t>payés par l’entreprise</w:t>
            </w:r>
            <w:r>
              <w:t>. Sur demande, ceux-ci doivent être justifiés par des factures</w:t>
            </w:r>
            <w:r w:rsidR="00DF4432">
              <w:t>.</w:t>
            </w:r>
          </w:p>
          <w:p w14:paraId="1FD6157B" w14:textId="77777777" w:rsidR="009D44C6" w:rsidRDefault="003714FF" w:rsidP="00D72126">
            <w:pPr>
              <w:pStyle w:val="AuflistungmitCheckbox"/>
            </w:pPr>
            <w:r w:rsidRPr="00B70AE8">
              <w:fldChar w:fldCharType="begin">
                <w:ffData>
                  <w:name w:val="Kontrollkästchen1"/>
                  <w:enabled/>
                  <w:calcOnExit w:val="0"/>
                  <w:checkBox>
                    <w:sizeAuto/>
                    <w:default w:val="0"/>
                  </w:checkBox>
                </w:ffData>
              </w:fldChar>
            </w:r>
            <w:r w:rsidR="009D44C6" w:rsidRPr="00B70AE8">
              <w:instrText xml:space="preserve"> FORMCHECKBOX </w:instrText>
            </w:r>
            <w:r w:rsidR="00584FFB">
              <w:fldChar w:fldCharType="separate"/>
            </w:r>
            <w:r w:rsidRPr="00B70AE8">
              <w:fldChar w:fldCharType="end"/>
            </w:r>
            <w:r w:rsidR="009D44C6" w:rsidRPr="00B70AE8">
              <w:tab/>
              <w:t>Pour les énergies définies par l’utilisateur, il faut justifier de manière compréhensible le prix de la chaleur et les autres paramètres déterminants (pouvoir calorifique, facteur d’émissions, coûts) (p. ex. analyse du combustible, calcul du prix de la chaleur, facteur d’émissions par la mesure des gaz de fumée).</w:t>
            </w:r>
          </w:p>
        </w:tc>
      </w:tr>
      <w:tr w:rsidR="009D44C6" w:rsidRPr="00F82B1E" w14:paraId="5852234E" w14:textId="77777777" w:rsidTr="00F425D3">
        <w:trPr>
          <w:cantSplit/>
        </w:trPr>
        <w:tc>
          <w:tcPr>
            <w:tcW w:w="2181" w:type="dxa"/>
            <w:shd w:val="clear" w:color="auto" w:fill="F2F2F2"/>
          </w:tcPr>
          <w:p w14:paraId="4FC022A1" w14:textId="77777777" w:rsidR="009D44C6" w:rsidRDefault="009D44C6" w:rsidP="004002A3">
            <w:pPr>
              <w:pStyle w:val="Tabellentitel"/>
              <w:ind w:left="29"/>
            </w:pPr>
            <w:r w:rsidRPr="00B70AE8">
              <w:t>Aide</w:t>
            </w:r>
          </w:p>
        </w:tc>
        <w:tc>
          <w:tcPr>
            <w:tcW w:w="7515" w:type="dxa"/>
            <w:shd w:val="clear" w:color="auto" w:fill="F2F2F2"/>
          </w:tcPr>
          <w:p w14:paraId="18FD60EB" w14:textId="77777777" w:rsidR="009D44C6" w:rsidRDefault="009D44C6" w:rsidP="00D72126">
            <w:pPr>
              <w:pStyle w:val="AuflistungHilfestellung"/>
            </w:pPr>
            <w:r w:rsidRPr="00B70AE8">
              <w:t>L’OFEN et l’OFEV actualisent chaque année les prix de l’énergie qui se fondent sur un scénario de référence incluant la taxe sur le CO</w:t>
            </w:r>
            <w:r w:rsidRPr="00B70AE8">
              <w:rPr>
                <w:vertAlign w:val="subscript"/>
              </w:rPr>
              <w:t>2</w:t>
            </w:r>
            <w:r w:rsidRPr="00B70AE8">
              <w:t>.</w:t>
            </w:r>
          </w:p>
          <w:p w14:paraId="4B7BD676" w14:textId="77777777" w:rsidR="009D44C6" w:rsidRDefault="009D44C6" w:rsidP="00D72126">
            <w:pPr>
              <w:pStyle w:val="AuflistungHilfestellung"/>
            </w:pPr>
            <w:r w:rsidRPr="00B70AE8">
              <w:t>Un outil de conversion de différentes énergies en MWh ou en kWh est mis à votre disposition dans le formulaire 3.</w:t>
            </w:r>
          </w:p>
          <w:p w14:paraId="68DF4475" w14:textId="6A16EC84" w:rsidR="009D44C6" w:rsidRDefault="009D44C6" w:rsidP="00103B57">
            <w:pPr>
              <w:pStyle w:val="AuflistungHilfestellung"/>
            </w:pPr>
            <w:r w:rsidRPr="00B70AE8">
              <w:t xml:space="preserve">Vous trouverez des précisions pour calculer la rentabilité dans la Communication de </w:t>
            </w:r>
            <w:r w:rsidRPr="00FB28EB">
              <w:t xml:space="preserve">l’OFEV </w:t>
            </w:r>
            <w:r w:rsidRPr="00FB28EB">
              <w:rPr>
                <w:rStyle w:val="DeltaViewInsertion"/>
                <w:color w:val="auto"/>
                <w:szCs w:val="26"/>
                <w:u w:val="none"/>
              </w:rPr>
              <w:t>«Exemption de la taxe sur le CO</w:t>
            </w:r>
            <w:r w:rsidRPr="00FB28EB">
              <w:rPr>
                <w:rStyle w:val="DeltaViewInsertion"/>
                <w:color w:val="auto"/>
                <w:szCs w:val="26"/>
                <w:u w:val="none"/>
                <w:vertAlign w:val="subscript"/>
              </w:rPr>
              <w:t>2</w:t>
            </w:r>
            <w:r w:rsidRPr="00FB28EB">
              <w:rPr>
                <w:rStyle w:val="DeltaViewInsertion"/>
                <w:color w:val="auto"/>
                <w:szCs w:val="26"/>
                <w:u w:val="none"/>
              </w:rPr>
              <w:t xml:space="preserve"> sans échange de quotas d’émissions»</w:t>
            </w:r>
            <w:r w:rsidR="00103B57">
              <w:rPr>
                <w:rStyle w:val="DeltaViewInsertion"/>
                <w:color w:val="auto"/>
                <w:szCs w:val="26"/>
                <w:u w:val="none"/>
              </w:rPr>
              <w:t xml:space="preserve"> ou dans la directive </w:t>
            </w:r>
            <w:r w:rsidR="00103B57" w:rsidRPr="00FE38EE">
              <w:t>Conventions d’objectifs conclues avec la Confédération et visant l’amélioration de l’efficacité énergétique</w:t>
            </w:r>
            <w:r w:rsidRPr="00FB28EB">
              <w:rPr>
                <w:rStyle w:val="DeltaViewInsertion"/>
                <w:color w:val="auto"/>
                <w:szCs w:val="26"/>
                <w:u w:val="none"/>
              </w:rPr>
              <w:t>.</w:t>
            </w:r>
          </w:p>
        </w:tc>
      </w:tr>
    </w:tbl>
    <w:p w14:paraId="62214944" w14:textId="77777777" w:rsidR="00293C0D" w:rsidRPr="00B4595A" w:rsidRDefault="00B32F02" w:rsidP="00401BD0">
      <w:pPr>
        <w:pStyle w:val="berschrift1"/>
      </w:pPr>
      <w:r w:rsidRPr="009D44C6">
        <w:rPr>
          <w:lang w:val="fr-CH"/>
        </w:rPr>
        <w:br w:type="page"/>
      </w:r>
      <w:bookmarkStart w:id="60" w:name="_Toc347303571"/>
      <w:bookmarkStart w:id="61" w:name="_Toc347853256"/>
      <w:bookmarkStart w:id="62" w:name="_Toc354127702"/>
      <w:bookmarkStart w:id="63" w:name="_Toc421696271"/>
      <w:r w:rsidR="009D44C6" w:rsidRPr="00B70AE8">
        <w:lastRenderedPageBreak/>
        <w:t>Historique</w:t>
      </w:r>
      <w:bookmarkEnd w:id="60"/>
      <w:bookmarkEnd w:id="61"/>
      <w:bookmarkEnd w:id="62"/>
      <w:bookmarkEnd w:id="63"/>
    </w:p>
    <w:p w14:paraId="32049F0E" w14:textId="77777777" w:rsidR="00293C0D" w:rsidRPr="00B4595A" w:rsidRDefault="009D44C6" w:rsidP="000073BF">
      <w:pPr>
        <w:pStyle w:val="berschrift2"/>
      </w:pPr>
      <w:bookmarkStart w:id="64" w:name="_Toc347303572"/>
      <w:bookmarkStart w:id="65" w:name="_Toc347853257"/>
      <w:bookmarkStart w:id="66" w:name="_Toc354127703"/>
      <w:bookmarkStart w:id="67" w:name="_Toc421696272"/>
      <w:r w:rsidRPr="00B70AE8">
        <w:t>Consommation d’énergie finale et déchets utilisés à des fins énergétiques les deux dernières années</w:t>
      </w:r>
      <w:bookmarkEnd w:id="64"/>
      <w:bookmarkEnd w:id="65"/>
      <w:bookmarkEnd w:id="66"/>
      <w:bookmarkEnd w:id="67"/>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69"/>
        <w:gridCol w:w="7527"/>
      </w:tblGrid>
      <w:tr w:rsidR="009D44C6" w:rsidRPr="00F82B1E" w14:paraId="6B2BE631" w14:textId="77777777" w:rsidTr="009D44C6">
        <w:tc>
          <w:tcPr>
            <w:tcW w:w="2169" w:type="dxa"/>
            <w:tcBorders>
              <w:bottom w:val="single" w:sz="4" w:space="0" w:color="auto"/>
            </w:tcBorders>
            <w:shd w:val="clear" w:color="auto" w:fill="F2F2F2"/>
          </w:tcPr>
          <w:p w14:paraId="76569E65" w14:textId="77777777" w:rsidR="009D44C6" w:rsidRDefault="009D44C6" w:rsidP="004002A3">
            <w:pPr>
              <w:pStyle w:val="Tabellentitel"/>
              <w:ind w:left="29"/>
            </w:pPr>
            <w:r w:rsidRPr="00B70AE8">
              <w:t>Introduction</w:t>
            </w:r>
          </w:p>
        </w:tc>
        <w:tc>
          <w:tcPr>
            <w:tcW w:w="7527" w:type="dxa"/>
            <w:tcBorders>
              <w:bottom w:val="single" w:sz="4" w:space="0" w:color="auto"/>
            </w:tcBorders>
            <w:shd w:val="clear" w:color="auto" w:fill="F2F2F2"/>
          </w:tcPr>
          <w:p w14:paraId="74077F60" w14:textId="700C900F" w:rsidR="009D44C6" w:rsidRDefault="009D44C6" w:rsidP="004002A3">
            <w:pPr>
              <w:ind w:left="0"/>
              <w:rPr>
                <w:lang w:val="fr-CH"/>
              </w:rPr>
            </w:pPr>
            <w:r w:rsidRPr="009D44C6">
              <w:rPr>
                <w:lang w:val="fr-CH"/>
              </w:rPr>
              <w:t>La consommation d’énergie finale des deux dernières années sert de base à la</w:t>
            </w:r>
            <w:r w:rsidR="00A75150">
              <w:rPr>
                <w:lang w:val="fr-CH"/>
              </w:rPr>
              <w:t xml:space="preserve"> proposition</w:t>
            </w:r>
            <w:r w:rsidRPr="009D44C6">
              <w:rPr>
                <w:lang w:val="fr-CH"/>
              </w:rPr>
              <w:t xml:space="preserve"> d’objectif</w:t>
            </w:r>
            <w:r w:rsidR="00A75150">
              <w:rPr>
                <w:lang w:val="fr-CH"/>
              </w:rPr>
              <w:t xml:space="preserve"> en vue de l’exemption de la taxe sur le CO</w:t>
            </w:r>
            <w:r w:rsidR="00A75150" w:rsidRPr="00CF5A8D">
              <w:rPr>
                <w:vertAlign w:val="subscript"/>
                <w:lang w:val="fr-CH"/>
              </w:rPr>
              <w:t>2</w:t>
            </w:r>
            <w:r w:rsidRPr="009D44C6">
              <w:rPr>
                <w:lang w:val="fr-CH"/>
              </w:rPr>
              <w:t>.</w:t>
            </w:r>
            <w:r w:rsidR="00A75150">
              <w:rPr>
                <w:lang w:val="fr-CH"/>
              </w:rPr>
              <w:t xml:space="preserve"> </w:t>
            </w:r>
            <w:r w:rsidR="00103B57">
              <w:rPr>
                <w:lang w:val="fr-CH"/>
              </w:rPr>
              <w:t>Ainsi</w:t>
            </w:r>
            <w:r w:rsidR="00A75150">
              <w:rPr>
                <w:lang w:val="fr-CH"/>
              </w:rPr>
              <w:t xml:space="preserve">, pour une exemption </w:t>
            </w:r>
            <w:r w:rsidR="00A75150" w:rsidRPr="00B65328">
              <w:rPr>
                <w:lang w:val="fr-CH"/>
              </w:rPr>
              <w:t>à partir du 1</w:t>
            </w:r>
            <w:r w:rsidR="00A75150" w:rsidRPr="00CF5A8D">
              <w:rPr>
                <w:vertAlign w:val="superscript"/>
                <w:lang w:val="fr-CH"/>
              </w:rPr>
              <w:t>er</w:t>
            </w:r>
            <w:r w:rsidR="00A75150" w:rsidRPr="00B65328">
              <w:rPr>
                <w:lang w:val="fr-CH"/>
              </w:rPr>
              <w:t xml:space="preserve"> janvier 2014</w:t>
            </w:r>
            <w:r w:rsidR="00A75150">
              <w:rPr>
                <w:lang w:val="fr-CH"/>
              </w:rPr>
              <w:t xml:space="preserve">, ce sont les années 2011 et 2012 qui sont prises en compte. Les tableaux et </w:t>
            </w:r>
            <w:r w:rsidR="00A75150" w:rsidRPr="00B65328">
              <w:rPr>
                <w:lang w:val="fr-CH"/>
              </w:rPr>
              <w:t>données figurant ci-après à titre d’exemple se basent sur une exemption à partir de 2013 et</w:t>
            </w:r>
            <w:r w:rsidR="00A75150">
              <w:rPr>
                <w:lang w:val="fr-CH"/>
              </w:rPr>
              <w:t xml:space="preserve"> se réfèrent</w:t>
            </w:r>
            <w:r w:rsidR="00B65328">
              <w:rPr>
                <w:lang w:val="fr-CH"/>
              </w:rPr>
              <w:t xml:space="preserve"> dès lors</w:t>
            </w:r>
            <w:r w:rsidR="00A75150">
              <w:rPr>
                <w:lang w:val="fr-CH"/>
              </w:rPr>
              <w:t xml:space="preserve"> au</w:t>
            </w:r>
            <w:r w:rsidR="00B65328">
              <w:rPr>
                <w:lang w:val="fr-CH"/>
              </w:rPr>
              <w:t>x données des années 2010 et 2011</w:t>
            </w:r>
            <w:r w:rsidR="00A75150">
              <w:rPr>
                <w:lang w:val="fr-CH"/>
              </w:rPr>
              <w:t>.</w:t>
            </w:r>
            <w:r w:rsidRPr="009D44C6">
              <w:rPr>
                <w:lang w:val="fr-CH"/>
              </w:rPr>
              <w:t xml:space="preserve"> On doit indiquer, autant que possible, la consommation sur une base mensuelle.</w:t>
            </w:r>
          </w:p>
          <w:p w14:paraId="5EAE7B49" w14:textId="1E1B5047" w:rsidR="00103B57" w:rsidRPr="009D44C6" w:rsidRDefault="00103B57" w:rsidP="004002A3">
            <w:pPr>
              <w:ind w:left="0"/>
              <w:rPr>
                <w:lang w:val="fr-CH"/>
              </w:rPr>
            </w:pPr>
            <w:r>
              <w:rPr>
                <w:lang w:val="fr-CH"/>
              </w:rPr>
              <w:t xml:space="preserve">Pour les conventions d’objectifs avec ou sans remboursement du supplément, on peut </w:t>
            </w:r>
            <w:r w:rsidR="00DF4432">
              <w:rPr>
                <w:lang w:val="fr-CH"/>
              </w:rPr>
              <w:t xml:space="preserve">soit </w:t>
            </w:r>
            <w:r>
              <w:rPr>
                <w:lang w:val="fr-CH"/>
              </w:rPr>
              <w:t xml:space="preserve">utiliser les données </w:t>
            </w:r>
            <w:r w:rsidR="00DF4432">
              <w:rPr>
                <w:lang w:val="fr-CH"/>
              </w:rPr>
              <w:t>telles qu’</w:t>
            </w:r>
            <w:r>
              <w:rPr>
                <w:lang w:val="fr-CH"/>
              </w:rPr>
              <w:t>indiquées ci-dessus, soit utiliser en tant qu’année initiale l’</w:t>
            </w:r>
            <w:r w:rsidR="00DF4432">
              <w:rPr>
                <w:lang w:val="fr-CH"/>
              </w:rPr>
              <w:t>année complète précéda</w:t>
            </w:r>
            <w:r>
              <w:rPr>
                <w:lang w:val="fr-CH"/>
              </w:rPr>
              <w:t>nt la conclusion de la convention d’objectif</w:t>
            </w:r>
            <w:r w:rsidR="00282100">
              <w:rPr>
                <w:lang w:val="fr-CH"/>
              </w:rPr>
              <w:t>s</w:t>
            </w:r>
            <w:r>
              <w:rPr>
                <w:lang w:val="fr-CH"/>
              </w:rPr>
              <w:t>.</w:t>
            </w:r>
          </w:p>
          <w:p w14:paraId="66BC91A2" w14:textId="77777777" w:rsidR="009D44C6" w:rsidRPr="009D44C6" w:rsidRDefault="009D44C6" w:rsidP="004002A3">
            <w:pPr>
              <w:ind w:left="0"/>
              <w:rPr>
                <w:lang w:val="fr-CH"/>
              </w:rPr>
            </w:pPr>
            <w:r w:rsidRPr="009D44C6">
              <w:rPr>
                <w:lang w:val="fr-CH"/>
              </w:rPr>
              <w:t>On saisit toujours la consommation en kilowattheures (kWh) en se fondant sur le pouvoir calorifique inférieur (pci).</w:t>
            </w:r>
          </w:p>
        </w:tc>
      </w:tr>
      <w:tr w:rsidR="00B32F02" w:rsidRPr="00F82B1E" w14:paraId="321ADA3C" w14:textId="77777777" w:rsidTr="009D44C6">
        <w:tc>
          <w:tcPr>
            <w:tcW w:w="9696" w:type="dxa"/>
            <w:gridSpan w:val="2"/>
            <w:tcBorders>
              <w:bottom w:val="single" w:sz="4" w:space="0" w:color="auto"/>
            </w:tcBorders>
          </w:tcPr>
          <w:p w14:paraId="0E2AC6B0" w14:textId="77777777" w:rsidR="00B32F02" w:rsidRPr="00CF5A8D" w:rsidRDefault="00C47AA9" w:rsidP="00674C13">
            <w:pPr>
              <w:pStyle w:val="Bild"/>
              <w:ind w:left="0" w:right="0"/>
              <w:rPr>
                <w:lang w:val="fr-CH"/>
              </w:rPr>
            </w:pPr>
            <w:r>
              <w:drawing>
                <wp:inline distT="0" distB="0" distL="0" distR="0" wp14:anchorId="2C40C00D" wp14:editId="4B147F99">
                  <wp:extent cx="6085205" cy="3783965"/>
                  <wp:effectExtent l="1905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6085205" cy="3783965"/>
                          </a:xfrm>
                          <a:prstGeom prst="rect">
                            <a:avLst/>
                          </a:prstGeom>
                          <a:noFill/>
                          <a:ln w="9525">
                            <a:noFill/>
                            <a:miter lim="800000"/>
                            <a:headEnd/>
                            <a:tailEnd/>
                          </a:ln>
                        </pic:spPr>
                      </pic:pic>
                    </a:graphicData>
                  </a:graphic>
                </wp:inline>
              </w:drawing>
            </w:r>
          </w:p>
          <w:p w14:paraId="1A14FC2C" w14:textId="77777777" w:rsidR="00B32F02" w:rsidRPr="00936B78" w:rsidRDefault="00757FB5" w:rsidP="00F53030">
            <w:pPr>
              <w:pStyle w:val="BildTabellenbeschriftung"/>
            </w:pPr>
            <w:bookmarkStart w:id="68" w:name="_Toc421696301"/>
            <w:r w:rsidRPr="00B70AE8">
              <w:t xml:space="preserve">Tableau </w:t>
            </w:r>
            <w:r w:rsidR="003714FF">
              <w:rPr>
                <w:noProof w:val="0"/>
              </w:rPr>
              <w:fldChar w:fldCharType="begin"/>
            </w:r>
            <w:r w:rsidR="00F53030">
              <w:rPr>
                <w:noProof w:val="0"/>
              </w:rPr>
              <w:instrText xml:space="preserve"> SEQ Tabelle \* ARABIC </w:instrText>
            </w:r>
            <w:r w:rsidR="003714FF">
              <w:rPr>
                <w:noProof w:val="0"/>
              </w:rPr>
              <w:fldChar w:fldCharType="separate"/>
            </w:r>
            <w:r w:rsidR="00FD6355">
              <w:t>5</w:t>
            </w:r>
            <w:r w:rsidR="003714FF">
              <w:rPr>
                <w:noProof w:val="0"/>
              </w:rPr>
              <w:fldChar w:fldCharType="end"/>
            </w:r>
            <w:r w:rsidR="00F22099" w:rsidRPr="00F22099">
              <w:t xml:space="preserve"> (consommation d’énergie finale, déchets internes 2010)</w:t>
            </w:r>
            <w:bookmarkEnd w:id="68"/>
          </w:p>
        </w:tc>
      </w:tr>
      <w:tr w:rsidR="00B32F02" w:rsidRPr="00F82B1E" w14:paraId="556EA0A8" w14:textId="77777777" w:rsidTr="009D44C6">
        <w:tc>
          <w:tcPr>
            <w:tcW w:w="9696" w:type="dxa"/>
            <w:gridSpan w:val="2"/>
            <w:tcBorders>
              <w:bottom w:val="single" w:sz="4" w:space="0" w:color="auto"/>
            </w:tcBorders>
          </w:tcPr>
          <w:p w14:paraId="4B32F6C1" w14:textId="77777777" w:rsidR="001957E0" w:rsidRPr="00936B78" w:rsidRDefault="00C47AA9" w:rsidP="00F16C61">
            <w:pPr>
              <w:pStyle w:val="BildTabellenbeschriftung"/>
            </w:pPr>
            <w:r>
              <w:rPr>
                <w:lang w:val="de-CH"/>
              </w:rPr>
              <w:lastRenderedPageBreak/>
              <w:drawing>
                <wp:inline distT="0" distB="0" distL="0" distR="0" wp14:anchorId="6C6FF85B" wp14:editId="1E97AADB">
                  <wp:extent cx="6085205" cy="3768090"/>
                  <wp:effectExtent l="1905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6085205" cy="3768090"/>
                          </a:xfrm>
                          <a:prstGeom prst="rect">
                            <a:avLst/>
                          </a:prstGeom>
                          <a:noFill/>
                          <a:ln w="9525">
                            <a:noFill/>
                            <a:miter lim="800000"/>
                            <a:headEnd/>
                            <a:tailEnd/>
                          </a:ln>
                        </pic:spPr>
                      </pic:pic>
                    </a:graphicData>
                  </a:graphic>
                </wp:inline>
              </w:drawing>
            </w:r>
          </w:p>
          <w:p w14:paraId="7D312479" w14:textId="77777777" w:rsidR="001957E0" w:rsidRDefault="00757FB5" w:rsidP="001E043B">
            <w:pPr>
              <w:pStyle w:val="BildTabellenbeschriftung"/>
              <w:pBdr>
                <w:bottom w:val="single" w:sz="4" w:space="1" w:color="auto"/>
              </w:pBdr>
            </w:pPr>
            <w:bookmarkStart w:id="69" w:name="_Toc421696302"/>
            <w:r w:rsidRPr="00757FB5">
              <w:t xml:space="preserve">Tableau </w:t>
            </w:r>
            <w:r w:rsidR="00AE6C37">
              <w:fldChar w:fldCharType="begin"/>
            </w:r>
            <w:r w:rsidR="00AE6C37">
              <w:instrText xml:space="preserve"> SEQ Tabelle \* ARABIC </w:instrText>
            </w:r>
            <w:r w:rsidR="00AE6C37">
              <w:fldChar w:fldCharType="separate"/>
            </w:r>
            <w:r w:rsidR="00FD6355">
              <w:t>6</w:t>
            </w:r>
            <w:r w:rsidR="00AE6C37">
              <w:fldChar w:fldCharType="end"/>
            </w:r>
            <w:r w:rsidR="00F22099" w:rsidRPr="00757FB5">
              <w:t xml:space="preserve"> (consommation</w:t>
            </w:r>
            <w:r w:rsidR="00F22099" w:rsidRPr="00F22099">
              <w:t xml:space="preserve"> d’énergie finale, déchets internes 2011)</w:t>
            </w:r>
            <w:bookmarkEnd w:id="69"/>
          </w:p>
          <w:p w14:paraId="61513868" w14:textId="77777777" w:rsidR="00674C13" w:rsidRPr="00936B78" w:rsidRDefault="00C47AA9" w:rsidP="00F16C61">
            <w:pPr>
              <w:pStyle w:val="BildTabellenbeschriftung"/>
            </w:pPr>
            <w:r>
              <w:rPr>
                <w:lang w:val="de-CH"/>
              </w:rPr>
              <w:drawing>
                <wp:inline distT="0" distB="0" distL="0" distR="0" wp14:anchorId="3B824756" wp14:editId="0FF7756D">
                  <wp:extent cx="5880735" cy="3641725"/>
                  <wp:effectExtent l="19050" t="0" r="5715"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5880735" cy="3641725"/>
                          </a:xfrm>
                          <a:prstGeom prst="rect">
                            <a:avLst/>
                          </a:prstGeom>
                          <a:noFill/>
                          <a:ln w="9525">
                            <a:noFill/>
                            <a:miter lim="800000"/>
                            <a:headEnd/>
                            <a:tailEnd/>
                          </a:ln>
                        </pic:spPr>
                      </pic:pic>
                    </a:graphicData>
                  </a:graphic>
                </wp:inline>
              </w:drawing>
            </w:r>
          </w:p>
          <w:p w14:paraId="03EDD0C4" w14:textId="77777777" w:rsidR="00B32F02" w:rsidRPr="00F22099" w:rsidRDefault="00757FB5" w:rsidP="00757FB5">
            <w:pPr>
              <w:pStyle w:val="BildTabellenbeschriftung"/>
            </w:pPr>
            <w:bookmarkStart w:id="70" w:name="_Toc421696303"/>
            <w:r w:rsidRPr="00B70AE8">
              <w:t xml:space="preserve">Tableau </w:t>
            </w:r>
            <w:r w:rsidR="00AE6C37">
              <w:fldChar w:fldCharType="begin"/>
            </w:r>
            <w:r w:rsidR="00AE6C37">
              <w:instrText xml:space="preserve"> SEQ Tabelle \* ARABIC </w:instrText>
            </w:r>
            <w:r w:rsidR="00AE6C37">
              <w:fldChar w:fldCharType="separate"/>
            </w:r>
            <w:r w:rsidR="00FD6355">
              <w:t>7</w:t>
            </w:r>
            <w:r w:rsidR="00AE6C37">
              <w:fldChar w:fldCharType="end"/>
            </w:r>
            <w:r w:rsidR="00F22099" w:rsidRPr="00F22099">
              <w:t xml:space="preserve"> (propre production solaire, hydraulique, éolienne et fourniture d’énergie en 2010)</w:t>
            </w:r>
            <w:bookmarkEnd w:id="70"/>
          </w:p>
        </w:tc>
      </w:tr>
      <w:tr w:rsidR="0036322A" w:rsidRPr="00F82B1E" w14:paraId="54CBE386" w14:textId="77777777" w:rsidTr="009D44C6">
        <w:tc>
          <w:tcPr>
            <w:tcW w:w="9696" w:type="dxa"/>
            <w:gridSpan w:val="2"/>
            <w:tcBorders>
              <w:bottom w:val="single" w:sz="4" w:space="0" w:color="auto"/>
            </w:tcBorders>
          </w:tcPr>
          <w:p w14:paraId="10162261" w14:textId="77777777" w:rsidR="0036322A" w:rsidRPr="00936B78" w:rsidRDefault="00C47AA9" w:rsidP="00F16C61">
            <w:pPr>
              <w:pStyle w:val="BildTabellenbeschriftung"/>
            </w:pPr>
            <w:r>
              <w:rPr>
                <w:lang w:val="de-CH"/>
              </w:rPr>
              <w:lastRenderedPageBreak/>
              <w:drawing>
                <wp:inline distT="0" distB="0" distL="0" distR="0" wp14:anchorId="23609F81" wp14:editId="4CD3E796">
                  <wp:extent cx="6085205" cy="3736340"/>
                  <wp:effectExtent l="1905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6085205" cy="3736340"/>
                          </a:xfrm>
                          <a:prstGeom prst="rect">
                            <a:avLst/>
                          </a:prstGeom>
                          <a:noFill/>
                          <a:ln w="9525">
                            <a:noFill/>
                            <a:miter lim="800000"/>
                            <a:headEnd/>
                            <a:tailEnd/>
                          </a:ln>
                        </pic:spPr>
                      </pic:pic>
                    </a:graphicData>
                  </a:graphic>
                </wp:inline>
              </w:drawing>
            </w:r>
          </w:p>
          <w:p w14:paraId="3C319272" w14:textId="77777777" w:rsidR="0036322A" w:rsidRPr="00F22099" w:rsidRDefault="00757FB5" w:rsidP="00757FB5">
            <w:pPr>
              <w:pStyle w:val="BildTabellenbeschriftung"/>
            </w:pPr>
            <w:bookmarkStart w:id="71" w:name="_Toc421696304"/>
            <w:r w:rsidRPr="00B70AE8">
              <w:t xml:space="preserve">Tableau </w:t>
            </w:r>
            <w:r w:rsidR="00AE6C37">
              <w:fldChar w:fldCharType="begin"/>
            </w:r>
            <w:r w:rsidR="00AE6C37">
              <w:instrText xml:space="preserve"> SEQ Tabelle \* ARABIC </w:instrText>
            </w:r>
            <w:r w:rsidR="00AE6C37">
              <w:fldChar w:fldCharType="separate"/>
            </w:r>
            <w:r w:rsidR="00FD6355">
              <w:t>8</w:t>
            </w:r>
            <w:r w:rsidR="00AE6C37">
              <w:fldChar w:fldCharType="end"/>
            </w:r>
            <w:r w:rsidR="00F22099" w:rsidRPr="00F22099">
              <w:t xml:space="preserve"> (propre production solaire, hydraulique, éolienne et fourniture d’énergie en 2011)</w:t>
            </w:r>
            <w:bookmarkEnd w:id="71"/>
          </w:p>
        </w:tc>
      </w:tr>
      <w:tr w:rsidR="00B32F02" w:rsidRPr="00F82B1E" w14:paraId="19040712" w14:textId="77777777" w:rsidTr="009D44C6">
        <w:tc>
          <w:tcPr>
            <w:tcW w:w="9696" w:type="dxa"/>
            <w:gridSpan w:val="2"/>
            <w:tcBorders>
              <w:bottom w:val="single" w:sz="4" w:space="0" w:color="auto"/>
            </w:tcBorders>
          </w:tcPr>
          <w:p w14:paraId="2CE469CB" w14:textId="77777777" w:rsidR="00523F6A" w:rsidRPr="00936B78" w:rsidRDefault="00C47AA9" w:rsidP="00F16C61">
            <w:pPr>
              <w:pStyle w:val="BildTabellenbeschriftung"/>
            </w:pPr>
            <w:r>
              <w:rPr>
                <w:lang w:val="de-CH"/>
              </w:rPr>
              <w:drawing>
                <wp:inline distT="0" distB="0" distL="0" distR="0" wp14:anchorId="78684985" wp14:editId="53D95FF6">
                  <wp:extent cx="6085205" cy="2900680"/>
                  <wp:effectExtent l="1905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6085205" cy="2900680"/>
                          </a:xfrm>
                          <a:prstGeom prst="rect">
                            <a:avLst/>
                          </a:prstGeom>
                          <a:noFill/>
                          <a:ln w="9525">
                            <a:noFill/>
                            <a:miter lim="800000"/>
                            <a:headEnd/>
                            <a:tailEnd/>
                          </a:ln>
                        </pic:spPr>
                      </pic:pic>
                    </a:graphicData>
                  </a:graphic>
                </wp:inline>
              </w:drawing>
            </w:r>
          </w:p>
          <w:p w14:paraId="51BB499E" w14:textId="77777777" w:rsidR="00B32F02" w:rsidRPr="00936B78" w:rsidRDefault="00753B0A" w:rsidP="00753B0A">
            <w:pPr>
              <w:pStyle w:val="BildTabellenbeschriftung"/>
            </w:pPr>
            <w:bookmarkStart w:id="72" w:name="_Toc421696291"/>
            <w:r w:rsidRPr="00753B0A">
              <w:t>Illustration</w:t>
            </w:r>
            <w:r w:rsidRPr="00B70AE8">
              <w:t xml:space="preserve"> </w:t>
            </w:r>
            <w:r w:rsidR="003714FF">
              <w:rPr>
                <w:noProof w:val="0"/>
              </w:rPr>
              <w:fldChar w:fldCharType="begin"/>
            </w:r>
            <w:r>
              <w:rPr>
                <w:noProof w:val="0"/>
              </w:rPr>
              <w:instrText xml:space="preserve"> SEQ Abbildung \* ARABIC </w:instrText>
            </w:r>
            <w:r w:rsidR="003714FF">
              <w:rPr>
                <w:noProof w:val="0"/>
              </w:rPr>
              <w:fldChar w:fldCharType="separate"/>
            </w:r>
            <w:r w:rsidR="00FD6355">
              <w:t>1</w:t>
            </w:r>
            <w:r w:rsidR="003714FF">
              <w:rPr>
                <w:noProof w:val="0"/>
              </w:rPr>
              <w:fldChar w:fldCharType="end"/>
            </w:r>
            <w:r w:rsidRPr="00F22099">
              <w:t xml:space="preserve"> </w:t>
            </w:r>
            <w:r w:rsidR="00F22099" w:rsidRPr="00F22099">
              <w:t>(aperçu de la consommation d’énergie finale en 2010 et en 2011)</w:t>
            </w:r>
            <w:bookmarkEnd w:id="72"/>
          </w:p>
        </w:tc>
      </w:tr>
      <w:tr w:rsidR="000D0B76" w:rsidRPr="00F82B1E" w14:paraId="0B8682CE" w14:textId="77777777" w:rsidTr="009D44C6">
        <w:tc>
          <w:tcPr>
            <w:tcW w:w="2169" w:type="dxa"/>
            <w:tcBorders>
              <w:bottom w:val="single" w:sz="4" w:space="0" w:color="auto"/>
            </w:tcBorders>
          </w:tcPr>
          <w:p w14:paraId="4A8FFAC1" w14:textId="77777777" w:rsidR="000D0B76" w:rsidRDefault="000D0B76" w:rsidP="00674C13">
            <w:pPr>
              <w:pStyle w:val="Tabellentitel"/>
              <w:ind w:left="0" w:right="0"/>
            </w:pPr>
            <w:r w:rsidRPr="00B70AE8">
              <w:t>Description générale</w:t>
            </w:r>
          </w:p>
        </w:tc>
        <w:tc>
          <w:tcPr>
            <w:tcW w:w="7527" w:type="dxa"/>
            <w:tcBorders>
              <w:bottom w:val="single" w:sz="4" w:space="0" w:color="auto"/>
            </w:tcBorders>
            <w:shd w:val="clear" w:color="auto" w:fill="B9DAFF"/>
          </w:tcPr>
          <w:p w14:paraId="1093A751" w14:textId="77777777" w:rsidR="000D0B76" w:rsidRPr="000D0B76" w:rsidRDefault="000D0B76" w:rsidP="00674C13">
            <w:pPr>
              <w:ind w:left="0"/>
              <w:rPr>
                <w:lang w:val="fr-CH"/>
              </w:rPr>
            </w:pPr>
            <w:r w:rsidRPr="000D0B76">
              <w:rPr>
                <w:lang w:val="fr-CH"/>
              </w:rPr>
              <w:t>Le site de production utilise exclusivement l’énergie sous forme d’électricité et d’huile de chauffage (mazout). Le gaz naturel n’entre pas en considération faute de raccordement au réseau de gaz.</w:t>
            </w:r>
          </w:p>
        </w:tc>
      </w:tr>
      <w:tr w:rsidR="000D0B76" w:rsidRPr="00936B78" w14:paraId="3242FF8C" w14:textId="77777777" w:rsidTr="009D44C6">
        <w:tc>
          <w:tcPr>
            <w:tcW w:w="2169" w:type="dxa"/>
            <w:shd w:val="clear" w:color="auto" w:fill="auto"/>
          </w:tcPr>
          <w:p w14:paraId="4254CB0A" w14:textId="77777777" w:rsidR="000D0B76" w:rsidRDefault="000D0B76" w:rsidP="00674C13">
            <w:pPr>
              <w:pStyle w:val="Tabellentitel"/>
              <w:ind w:left="0"/>
            </w:pPr>
            <w:r w:rsidRPr="00B70AE8">
              <w:t xml:space="preserve">Description des </w:t>
            </w:r>
            <w:r w:rsidRPr="00B70AE8">
              <w:br/>
              <w:t xml:space="preserve">différentes énergies: </w:t>
            </w:r>
          </w:p>
        </w:tc>
        <w:tc>
          <w:tcPr>
            <w:tcW w:w="7527" w:type="dxa"/>
            <w:shd w:val="clear" w:color="auto" w:fill="B9DAFF"/>
          </w:tcPr>
          <w:p w14:paraId="49FE0CEF" w14:textId="77777777" w:rsidR="000D0B76" w:rsidRPr="00674C13" w:rsidRDefault="000D0B76" w:rsidP="000D4B44">
            <w:pPr>
              <w:pStyle w:val="NummerierteAufzhlung"/>
              <w:numPr>
                <w:ilvl w:val="0"/>
                <w:numId w:val="15"/>
              </w:numPr>
              <w:spacing w:after="0"/>
              <w:rPr>
                <w:lang w:val="fr-CH"/>
              </w:rPr>
            </w:pPr>
            <w:r w:rsidRPr="00674C13">
              <w:rPr>
                <w:lang w:val="fr-CH"/>
              </w:rPr>
              <w:t>Aucune.</w:t>
            </w:r>
          </w:p>
        </w:tc>
      </w:tr>
      <w:tr w:rsidR="000D0B76" w:rsidRPr="00F82B1E" w14:paraId="4B67802C" w14:textId="77777777" w:rsidTr="009D44C6">
        <w:tc>
          <w:tcPr>
            <w:tcW w:w="2169" w:type="dxa"/>
            <w:shd w:val="clear" w:color="auto" w:fill="F2DBDB"/>
          </w:tcPr>
          <w:p w14:paraId="4F5265B7" w14:textId="77777777" w:rsidR="000D0B76" w:rsidRDefault="000D0B76" w:rsidP="00674C13">
            <w:pPr>
              <w:pStyle w:val="Tabellentitel"/>
              <w:ind w:left="0"/>
            </w:pPr>
            <w:r w:rsidRPr="00B70AE8">
              <w:lastRenderedPageBreak/>
              <w:t>Exigences</w:t>
            </w:r>
          </w:p>
        </w:tc>
        <w:tc>
          <w:tcPr>
            <w:tcW w:w="7527" w:type="dxa"/>
            <w:shd w:val="clear" w:color="auto" w:fill="F2DBDB"/>
          </w:tcPr>
          <w:p w14:paraId="2714FEBD" w14:textId="2CFF890F" w:rsidR="000D0B76" w:rsidRDefault="003714FF" w:rsidP="00D72126">
            <w:pPr>
              <w:pStyle w:val="AuflistungmitCheckbox"/>
              <w:rPr>
                <w:rFonts w:ascii="Times New Roman" w:hAnsi="Times New Roman" w:cs="Arial"/>
                <w:szCs w:val="18"/>
              </w:rPr>
            </w:pPr>
            <w:r w:rsidRPr="00B70AE8">
              <w:fldChar w:fldCharType="begin">
                <w:ffData>
                  <w:name w:val="Kontrollkästchen1"/>
                  <w:enabled/>
                  <w:calcOnExit w:val="0"/>
                  <w:checkBox>
                    <w:sizeAuto/>
                    <w:default w:val="0"/>
                  </w:checkBox>
                </w:ffData>
              </w:fldChar>
            </w:r>
            <w:r w:rsidR="000D0B76" w:rsidRPr="00B70AE8">
              <w:instrText xml:space="preserve"> FORMCHECKBOX </w:instrText>
            </w:r>
            <w:r w:rsidR="00584FFB">
              <w:fldChar w:fldCharType="separate"/>
            </w:r>
            <w:r w:rsidRPr="00B70AE8">
              <w:fldChar w:fldCharType="end"/>
            </w:r>
            <w:r w:rsidR="000D0B76" w:rsidRPr="00B70AE8">
              <w:tab/>
              <w:t>Les données sont relevées pour les deux dernières années. Les entreprises qui soumettent une demande d’exemption de la taxe sur le C</w:t>
            </w:r>
            <w:r w:rsidR="00E91F3B">
              <w:t>O</w:t>
            </w:r>
            <w:r w:rsidR="000D0B76" w:rsidRPr="00B70AE8">
              <w:rPr>
                <w:vertAlign w:val="subscript"/>
              </w:rPr>
              <w:t>2</w:t>
            </w:r>
            <w:r w:rsidR="000D0B76" w:rsidRPr="00B70AE8">
              <w:t xml:space="preserve"> ou une proposition de convention d’objectif</w:t>
            </w:r>
            <w:r w:rsidR="00282100">
              <w:t>s</w:t>
            </w:r>
            <w:r w:rsidR="000D0B76" w:rsidRPr="00B70AE8">
              <w:t xml:space="preserve"> à partir de 2013 doivent saisir les années 2010 et 2011.</w:t>
            </w:r>
            <w:r w:rsidR="00B65328">
              <w:t xml:space="preserve"> </w:t>
            </w:r>
            <w:r w:rsidR="00062E76">
              <w:t>En termes m</w:t>
            </w:r>
            <w:r w:rsidR="00B65328">
              <w:t>athématique</w:t>
            </w:r>
            <w:r w:rsidR="00062E76">
              <w:t>s,</w:t>
            </w:r>
            <w:r w:rsidR="00B65328">
              <w:t xml:space="preserve"> ce sont les années X-3 et X-2 qui servent de référence</w:t>
            </w:r>
            <w:r w:rsidR="00062E76">
              <w:t xml:space="preserve"> pour une exemption à partir de l’année X</w:t>
            </w:r>
            <w:r w:rsidR="00B65328">
              <w:t xml:space="preserve">. Les données doivent pouvoir </w:t>
            </w:r>
            <w:r w:rsidR="00062E76">
              <w:t>être étayées au moyen</w:t>
            </w:r>
            <w:r w:rsidR="00B65328">
              <w:t xml:space="preserve"> de justificatifs (extraits SAP, factures).</w:t>
            </w:r>
          </w:p>
          <w:p w14:paraId="6B7D69A8" w14:textId="6239D6CB" w:rsidR="000D0B76" w:rsidRDefault="003714FF" w:rsidP="00D72126">
            <w:pPr>
              <w:pStyle w:val="AuflistungmitCheckbox"/>
              <w:rPr>
                <w:rStyle w:val="DeltaViewInsertion"/>
                <w:rFonts w:cs="Arial"/>
                <w:color w:val="auto"/>
                <w:szCs w:val="21"/>
                <w:u w:val="none"/>
              </w:rPr>
            </w:pPr>
            <w:r w:rsidRPr="009C1D65">
              <w:fldChar w:fldCharType="begin">
                <w:ffData>
                  <w:name w:val="Kontrollkästchen1"/>
                  <w:enabled/>
                  <w:calcOnExit w:val="0"/>
                  <w:checkBox>
                    <w:sizeAuto/>
                    <w:default w:val="0"/>
                  </w:checkBox>
                </w:ffData>
              </w:fldChar>
            </w:r>
            <w:r w:rsidR="000D0B76" w:rsidRPr="009C1D65">
              <w:instrText xml:space="preserve"> FORMCHECKBOX </w:instrText>
            </w:r>
            <w:r w:rsidR="00584FFB">
              <w:fldChar w:fldCharType="separate"/>
            </w:r>
            <w:r w:rsidRPr="009C1D65">
              <w:fldChar w:fldCharType="end"/>
            </w:r>
            <w:bookmarkStart w:id="73" w:name="_DV_C320"/>
            <w:r w:rsidR="000D0B76" w:rsidRPr="009C1D65">
              <w:rPr>
                <w:rStyle w:val="DeltaViewInsertion"/>
                <w:rFonts w:cs="Arial"/>
                <w:color w:val="auto"/>
                <w:szCs w:val="18"/>
                <w:u w:val="none"/>
              </w:rPr>
              <w:tab/>
              <w:t>Les entreprises qui soumettent une demande d’exemption de la taxe sur le CO</w:t>
            </w:r>
            <w:r w:rsidR="000D0B76" w:rsidRPr="009C1D65">
              <w:rPr>
                <w:rStyle w:val="DeltaViewInsertion"/>
                <w:rFonts w:cs="Arial"/>
                <w:color w:val="auto"/>
                <w:szCs w:val="18"/>
                <w:u w:val="none"/>
                <w:vertAlign w:val="subscript"/>
              </w:rPr>
              <w:t>2</w:t>
            </w:r>
            <w:r w:rsidR="000D0B76" w:rsidRPr="009C1D65">
              <w:rPr>
                <w:rStyle w:val="DeltaViewInsertion"/>
                <w:rFonts w:cs="Arial"/>
                <w:color w:val="auto"/>
                <w:szCs w:val="18"/>
                <w:u w:val="none"/>
              </w:rPr>
              <w:t xml:space="preserve"> </w:t>
            </w:r>
            <w:r w:rsidR="00B65328">
              <w:rPr>
                <w:rStyle w:val="DeltaViewInsertion"/>
                <w:rFonts w:cs="Arial"/>
                <w:color w:val="auto"/>
                <w:szCs w:val="18"/>
                <w:u w:val="none"/>
              </w:rPr>
              <w:t>ou de remboursement du supplément peuvent a</w:t>
            </w:r>
            <w:r w:rsidR="00062E76">
              <w:rPr>
                <w:rStyle w:val="DeltaViewInsertion"/>
                <w:rFonts w:cs="Arial"/>
                <w:color w:val="auto"/>
                <w:szCs w:val="18"/>
                <w:u w:val="none"/>
              </w:rPr>
              <w:t>ussi indiquer la dernière année</w:t>
            </w:r>
            <w:r w:rsidR="00B65328">
              <w:rPr>
                <w:rStyle w:val="DeltaViewInsertion"/>
                <w:rFonts w:cs="Arial"/>
                <w:color w:val="auto"/>
                <w:szCs w:val="18"/>
                <w:u w:val="none"/>
              </w:rPr>
              <w:t xml:space="preserve"> complète. D</w:t>
            </w:r>
            <w:r w:rsidR="000D0B76" w:rsidRPr="009C1D65">
              <w:rPr>
                <w:rStyle w:val="DeltaViewInsertion"/>
                <w:rFonts w:cs="Arial"/>
                <w:color w:val="auto"/>
                <w:szCs w:val="18"/>
                <w:u w:val="none"/>
              </w:rPr>
              <w:t>ans la mesure où la technique et l’exploitation le permettent et que cette périodicité est économiquement supportable</w:t>
            </w:r>
            <w:r w:rsidR="00B65328">
              <w:rPr>
                <w:rStyle w:val="DeltaViewInsertion"/>
                <w:rFonts w:cs="Arial"/>
                <w:color w:val="auto"/>
                <w:szCs w:val="18"/>
                <w:u w:val="none"/>
              </w:rPr>
              <w:t>, les relevés devraient être effectués mensuellement</w:t>
            </w:r>
            <w:r w:rsidR="002D4197">
              <w:rPr>
                <w:rStyle w:val="DeltaViewInsertion"/>
                <w:rFonts w:cs="Arial"/>
                <w:color w:val="auto"/>
                <w:szCs w:val="18"/>
                <w:u w:val="none"/>
              </w:rPr>
              <w:t>. Des justificatifs doivent pouvoir être présentés sur demande</w:t>
            </w:r>
            <w:r w:rsidR="000D0B76" w:rsidRPr="009C1D65">
              <w:rPr>
                <w:rStyle w:val="DeltaViewInsertion"/>
                <w:rFonts w:cs="Arial"/>
                <w:color w:val="auto"/>
                <w:szCs w:val="21"/>
                <w:u w:val="none"/>
              </w:rPr>
              <w:t>.</w:t>
            </w:r>
            <w:bookmarkEnd w:id="73"/>
          </w:p>
          <w:p w14:paraId="454B396F" w14:textId="6E43947D" w:rsidR="002D4197" w:rsidRPr="009C1D65" w:rsidRDefault="002D4197" w:rsidP="00D72126">
            <w:pPr>
              <w:pStyle w:val="AuflistungmitCheckbox"/>
              <w:rPr>
                <w:rFonts w:ascii="Times New Roman" w:hAnsi="Times New Roman"/>
                <w:szCs w:val="21"/>
              </w:rPr>
            </w:pPr>
            <w:r w:rsidRPr="00B70AE8">
              <w:fldChar w:fldCharType="begin">
                <w:ffData>
                  <w:name w:val="Kontrollkästchen1"/>
                  <w:enabled/>
                  <w:calcOnExit w:val="0"/>
                  <w:checkBox>
                    <w:sizeAuto/>
                    <w:default w:val="0"/>
                  </w:checkBox>
                </w:ffData>
              </w:fldChar>
            </w:r>
            <w:r w:rsidRPr="00B70AE8">
              <w:instrText xml:space="preserve"> FORMCHECKBOX </w:instrText>
            </w:r>
            <w:r w:rsidR="00584FFB">
              <w:fldChar w:fldCharType="separate"/>
            </w:r>
            <w:r w:rsidRPr="00B70AE8">
              <w:fldChar w:fldCharType="end"/>
            </w:r>
            <w:r w:rsidRPr="00B70AE8">
              <w:tab/>
            </w:r>
            <w:r w:rsidRPr="002D4197">
              <w:t>L</w:t>
            </w:r>
            <w:r>
              <w:t>a production d</w:t>
            </w:r>
            <w:r w:rsidRPr="002D4197">
              <w:t xml:space="preserve">’électricité dans une installation de couplage chaleur-force fonctionnant à l’énergie fossile </w:t>
            </w:r>
            <w:r w:rsidRPr="00AC4033">
              <w:t>et l’injection d</w:t>
            </w:r>
            <w:r w:rsidR="00FE38EE" w:rsidRPr="00AC4033">
              <w:t>’</w:t>
            </w:r>
            <w:r w:rsidRPr="00AC4033">
              <w:t xml:space="preserve">électricité dans le </w:t>
            </w:r>
            <w:r w:rsidRPr="002D4197">
              <w:t xml:space="preserve">réseau ne sont pertinentes que pour le processus de </w:t>
            </w:r>
            <w:r>
              <w:t>changement</w:t>
            </w:r>
            <w:r w:rsidRPr="002D4197">
              <w:t>.</w:t>
            </w:r>
            <w:r>
              <w:br/>
              <w:t>Pour le remboursement du supplément, la saisie de ces données est obligatoire puisqu</w:t>
            </w:r>
            <w:r w:rsidR="00062E76">
              <w:t>e c</w:t>
            </w:r>
            <w:r>
              <w:t>elles</w:t>
            </w:r>
            <w:r w:rsidR="00062E76">
              <w:t>-ci</w:t>
            </w:r>
            <w:r>
              <w:t xml:space="preserve"> ont une influence directe sur l’objectif d’efficacité énergétique.</w:t>
            </w:r>
          </w:p>
          <w:p w14:paraId="71E72446" w14:textId="328BE3CF" w:rsidR="000D0B76" w:rsidRDefault="003714FF" w:rsidP="00D72126">
            <w:pPr>
              <w:pStyle w:val="AuflistungmitCheckbox"/>
            </w:pPr>
            <w:r w:rsidRPr="00B70AE8">
              <w:fldChar w:fldCharType="begin">
                <w:ffData>
                  <w:name w:val="Kontrollkästchen1"/>
                  <w:enabled/>
                  <w:calcOnExit w:val="0"/>
                  <w:checkBox>
                    <w:sizeAuto/>
                    <w:default w:val="0"/>
                  </w:checkBox>
                </w:ffData>
              </w:fldChar>
            </w:r>
            <w:r w:rsidR="000D0B76" w:rsidRPr="00B70AE8">
              <w:instrText xml:space="preserve"> FORMCHECKBOX </w:instrText>
            </w:r>
            <w:r w:rsidR="00584FFB">
              <w:fldChar w:fldCharType="separate"/>
            </w:r>
            <w:r w:rsidRPr="00B70AE8">
              <w:fldChar w:fldCharType="end"/>
            </w:r>
            <w:r w:rsidR="000D0B76" w:rsidRPr="00B70AE8">
              <w:tab/>
              <w:t>Il est recommandé aux entreprises qui ont conclu une convention d’objectif</w:t>
            </w:r>
            <w:r w:rsidR="00282100">
              <w:t>s</w:t>
            </w:r>
            <w:r w:rsidR="000D0B76" w:rsidRPr="00B70AE8">
              <w:t xml:space="preserve"> volontaire avec la Confédération d’effectuer un relevé mensuel. Le relevé mensuel est déterminant pour évaluer la consommation d’énergie de chauffage et permet de mieux comprendre l’évolution de la consommation d’énergie sur la base des indicateurs de la consommation d’énergie (p. ex. quantité de produits fabriqués).</w:t>
            </w:r>
            <w:r w:rsidR="000D0B76" w:rsidRPr="00B70AE8">
              <w:br/>
              <w:t>Une entreprise qui ne peut pas relever ou indiquer la consommation sur une base mensuelle doit le justifier. Si un relevé mensuel devait ne pas être pertinent pour une entreprise, il faut également le justifier. Dans ce cas, la consommation doit être relevée sur une base annuelle. Cependant, pour le futur monitoring, il est conseillé de relever la consommation d’énergie chaque mois (cf. aide ci-après).</w:t>
            </w:r>
          </w:p>
        </w:tc>
      </w:tr>
      <w:tr w:rsidR="000D0B76" w:rsidRPr="00F82B1E" w14:paraId="636960B8" w14:textId="77777777" w:rsidTr="009D44C6">
        <w:trPr>
          <w:trHeight w:val="128"/>
        </w:trPr>
        <w:tc>
          <w:tcPr>
            <w:tcW w:w="2169" w:type="dxa"/>
            <w:shd w:val="clear" w:color="auto" w:fill="F2F2F2"/>
          </w:tcPr>
          <w:p w14:paraId="5CAD03CE" w14:textId="77777777" w:rsidR="000D0B76" w:rsidRDefault="000D0B76" w:rsidP="00674C13">
            <w:pPr>
              <w:pStyle w:val="Tabellentitel"/>
              <w:ind w:left="0"/>
            </w:pPr>
            <w:r w:rsidRPr="00B70AE8">
              <w:t>Aide</w:t>
            </w:r>
          </w:p>
        </w:tc>
        <w:tc>
          <w:tcPr>
            <w:tcW w:w="7527" w:type="dxa"/>
            <w:shd w:val="clear" w:color="auto" w:fill="F2F2F2"/>
          </w:tcPr>
          <w:p w14:paraId="3597784D" w14:textId="77777777" w:rsidR="000D0B76" w:rsidRDefault="000D0B76" w:rsidP="00D72126">
            <w:pPr>
              <w:pStyle w:val="AuflistungHilfestellung"/>
            </w:pPr>
            <w:r w:rsidRPr="00B70AE8">
              <w:t xml:space="preserve">Pour faciliter la compréhension, le formulaire 4.1 contient un graphique qui présente les marges de fonctionnement du système d’une entreprise et les flux d’énergie qui doivent être relevés dans le présent chapitre. </w:t>
            </w:r>
          </w:p>
          <w:p w14:paraId="0EEEFD77" w14:textId="77777777" w:rsidR="000D0B76" w:rsidRDefault="000D0B76" w:rsidP="00D72126">
            <w:pPr>
              <w:pStyle w:val="AuflistungHilfestellung"/>
            </w:pPr>
            <w:r w:rsidRPr="00B70AE8">
              <w:t>La consommation d’électricité peut être relevée sur les décomptes du fournisseur d’électricité (en kilowattheures [kWh] par mois). On ne doit pas prendre en compte le courant réactif.</w:t>
            </w:r>
          </w:p>
          <w:p w14:paraId="017E6965" w14:textId="77777777" w:rsidR="000D0B76" w:rsidRDefault="000D0B76" w:rsidP="00D72126">
            <w:pPr>
              <w:pStyle w:val="AuflistungHilfestellung"/>
            </w:pPr>
            <w:r w:rsidRPr="00B70AE8">
              <w:t xml:space="preserve">Si la consommation d’électricité est facturée trimestriellement, on doit saisir la moyenne de la consommation indiquée pour les trois mois en question. </w:t>
            </w:r>
          </w:p>
          <w:p w14:paraId="699DECC7" w14:textId="77777777" w:rsidR="000D0B76" w:rsidRPr="009C1D65" w:rsidRDefault="000D0B76" w:rsidP="00D72126">
            <w:pPr>
              <w:pStyle w:val="AuflistungHilfestellung"/>
            </w:pPr>
            <w:r w:rsidRPr="00B70AE8">
              <w:t xml:space="preserve">La </w:t>
            </w:r>
            <w:r w:rsidRPr="00B70AE8">
              <w:rPr>
                <w:b/>
              </w:rPr>
              <w:t>consommation de gaz</w:t>
            </w:r>
            <w:r w:rsidRPr="00B70AE8">
              <w:t xml:space="preserve"> figure sur le décompte du fournisseur de gaz. Elle est en général facturée en fonction du pouvoir calorifique supérieur (pcs). C’est le pouvoir calorifique inférieur (pci) qui est déterminant pour le </w:t>
            </w:r>
            <w:r w:rsidRPr="009C1D65">
              <w:t xml:space="preserve">relevé. On le calcule comme suit: </w:t>
            </w:r>
            <w:r w:rsidRPr="009C1D65">
              <w:rPr>
                <w:b/>
              </w:rPr>
              <w:t>pci = 0,9 x pcs</w:t>
            </w:r>
            <w:r w:rsidRPr="009C1D65">
              <w:t>. Si les factures indiquent la consommation dans une autre unité que les kWh, on</w:t>
            </w:r>
            <w:r w:rsidRPr="00B70AE8">
              <w:t xml:space="preserve"> peut utiliser le formulaire 3 pour convertir les unités. Les entreprises exonérées de la taxe sur le CO</w:t>
            </w:r>
            <w:r w:rsidRPr="00B70AE8">
              <w:rPr>
                <w:vertAlign w:val="subscript"/>
              </w:rPr>
              <w:t>2</w:t>
            </w:r>
            <w:r w:rsidRPr="00B70AE8">
              <w:t xml:space="preserve"> doivent utiliser les facteurs de conversion actu</w:t>
            </w:r>
            <w:r w:rsidR="0007304D">
              <w:t>els publiés par l’OFEV.</w:t>
            </w:r>
          </w:p>
          <w:p w14:paraId="6A918B1F" w14:textId="77777777" w:rsidR="000D0B76" w:rsidRDefault="000D0B76" w:rsidP="00D72126">
            <w:pPr>
              <w:pStyle w:val="AuflistungHilfestellung"/>
            </w:pPr>
            <w:r w:rsidRPr="009C1D65">
              <w:lastRenderedPageBreak/>
              <w:t>Un journal gratuit qui aide à effectuer le relevé mensuel de la consommation</w:t>
            </w:r>
            <w:r w:rsidRPr="00B70AE8">
              <w:t xml:space="preserve"> d’huile de chauffage au moyen du niveau de remplissage de la citerne est disponible sur </w:t>
            </w:r>
            <w:hyperlink r:id="rId29" w:history="1">
              <w:r>
                <w:rPr>
                  <w:rStyle w:val="Hyperlink"/>
                </w:rPr>
                <w:t>www.esytrol.com</w:t>
              </w:r>
            </w:hyperlink>
            <w:r w:rsidR="0007304D">
              <w:t>.</w:t>
            </w:r>
          </w:p>
          <w:p w14:paraId="6C932117" w14:textId="7128B32A" w:rsidR="000D0B76" w:rsidRDefault="000D0B76" w:rsidP="006B02D5">
            <w:pPr>
              <w:pStyle w:val="AuflistungHilfestellung"/>
            </w:pPr>
            <w:r w:rsidRPr="00B70AE8">
              <w:t>Un tableau Excel servant à convertir les énergies les plus courantes (p. ex. de litres en kWh et vice-versa) est disponible sur le lien suivant de l’Administration fédéral</w:t>
            </w:r>
            <w:r w:rsidR="00E052E2">
              <w:t>e</w:t>
            </w:r>
            <w:r w:rsidRPr="00B70AE8">
              <w:t xml:space="preserve"> des douanes (-&gt; Formulaires (colonne de droite) -&gt; Outil de conversion). </w:t>
            </w:r>
            <w:r w:rsidR="006B02D5" w:rsidRPr="006B02D5">
              <w:t>http://www.ezv.admin.ch/zollinfo_firmen/04020/04256/04265/index.html?lang=fr</w:t>
            </w:r>
          </w:p>
        </w:tc>
      </w:tr>
    </w:tbl>
    <w:p w14:paraId="5CB06C4D" w14:textId="77777777" w:rsidR="000D0B76" w:rsidRDefault="00BA2457" w:rsidP="000073BF">
      <w:pPr>
        <w:pStyle w:val="berschrift2"/>
      </w:pPr>
      <w:r w:rsidRPr="000D0B76">
        <w:lastRenderedPageBreak/>
        <w:br w:type="page"/>
      </w:r>
      <w:bookmarkStart w:id="74" w:name="_Toc347303573"/>
      <w:bookmarkStart w:id="75" w:name="_Toc347853258"/>
      <w:bookmarkStart w:id="76" w:name="_Toc354127704"/>
      <w:bookmarkStart w:id="77" w:name="_Toc421696273"/>
      <w:r w:rsidR="000D0B76" w:rsidRPr="00B70AE8">
        <w:lastRenderedPageBreak/>
        <w:t>Emissions de gaz à effet de serre les deux dernières années</w:t>
      </w:r>
      <w:bookmarkEnd w:id="74"/>
      <w:bookmarkEnd w:id="75"/>
      <w:bookmarkEnd w:id="76"/>
      <w:bookmarkEnd w:id="77"/>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0D0B76" w:rsidRPr="00F82B1E" w14:paraId="3990A8A9" w14:textId="77777777" w:rsidTr="000D0B76">
        <w:trPr>
          <w:cantSplit/>
        </w:trPr>
        <w:tc>
          <w:tcPr>
            <w:tcW w:w="2181" w:type="dxa"/>
            <w:tcBorders>
              <w:bottom w:val="single" w:sz="4" w:space="0" w:color="auto"/>
            </w:tcBorders>
            <w:shd w:val="clear" w:color="auto" w:fill="F2F2F2"/>
          </w:tcPr>
          <w:p w14:paraId="7737B0AB" w14:textId="77777777" w:rsidR="000D0B76" w:rsidRDefault="000D0B76" w:rsidP="00674C13">
            <w:pPr>
              <w:pStyle w:val="Tabellentitel"/>
              <w:ind w:left="0" w:right="0"/>
            </w:pPr>
            <w:r w:rsidRPr="00B70AE8">
              <w:t>Introduction</w:t>
            </w:r>
          </w:p>
        </w:tc>
        <w:tc>
          <w:tcPr>
            <w:tcW w:w="7515" w:type="dxa"/>
            <w:tcBorders>
              <w:bottom w:val="single" w:sz="4" w:space="0" w:color="auto"/>
            </w:tcBorders>
            <w:shd w:val="clear" w:color="auto" w:fill="F2F2F2"/>
          </w:tcPr>
          <w:p w14:paraId="2E818323" w14:textId="77777777" w:rsidR="000D0B76" w:rsidRPr="000D0B76" w:rsidRDefault="000D0B76" w:rsidP="00674C13">
            <w:pPr>
              <w:ind w:left="0" w:right="0"/>
              <w:rPr>
                <w:lang w:val="fr-CH"/>
              </w:rPr>
            </w:pPr>
            <w:r w:rsidRPr="000D0B76">
              <w:rPr>
                <w:lang w:val="fr-CH"/>
              </w:rPr>
              <w:t>Le tableau suivant donne un aperçu annuel de la consommation d’énergie finale et des émissions de gaz à effet de serre de l’entreprise.</w:t>
            </w:r>
          </w:p>
        </w:tc>
      </w:tr>
      <w:tr w:rsidR="00BA2457" w:rsidRPr="00F82B1E" w14:paraId="29C4C6CC" w14:textId="77777777" w:rsidTr="000D0B76">
        <w:trPr>
          <w:cantSplit/>
        </w:trPr>
        <w:tc>
          <w:tcPr>
            <w:tcW w:w="9696" w:type="dxa"/>
            <w:gridSpan w:val="2"/>
            <w:tcBorders>
              <w:bottom w:val="single" w:sz="4" w:space="0" w:color="auto"/>
            </w:tcBorders>
          </w:tcPr>
          <w:p w14:paraId="7DA33827" w14:textId="77777777" w:rsidR="00BA2457" w:rsidRPr="00936B78" w:rsidRDefault="00C47AA9" w:rsidP="00674C13">
            <w:pPr>
              <w:pStyle w:val="Bild"/>
              <w:ind w:left="0" w:right="0"/>
            </w:pPr>
            <w:r>
              <w:drawing>
                <wp:inline distT="0" distB="0" distL="0" distR="0" wp14:anchorId="554348E4" wp14:editId="11503B95">
                  <wp:extent cx="6085205" cy="6322060"/>
                  <wp:effectExtent l="1905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6085205" cy="6322060"/>
                          </a:xfrm>
                          <a:prstGeom prst="rect">
                            <a:avLst/>
                          </a:prstGeom>
                          <a:noFill/>
                          <a:ln w="9525">
                            <a:noFill/>
                            <a:miter lim="800000"/>
                            <a:headEnd/>
                            <a:tailEnd/>
                          </a:ln>
                        </pic:spPr>
                      </pic:pic>
                    </a:graphicData>
                  </a:graphic>
                </wp:inline>
              </w:drawing>
            </w:r>
          </w:p>
          <w:p w14:paraId="79AE2B6C" w14:textId="77777777" w:rsidR="00BA2457" w:rsidRPr="00936B78" w:rsidRDefault="00757FB5" w:rsidP="00757FB5">
            <w:pPr>
              <w:pStyle w:val="BildTabellenbeschriftung"/>
            </w:pPr>
            <w:bookmarkStart w:id="78" w:name="_Toc421696305"/>
            <w:r w:rsidRPr="00B70AE8">
              <w:t xml:space="preserve">Tableau </w:t>
            </w:r>
            <w:r w:rsidR="00AE6C37">
              <w:fldChar w:fldCharType="begin"/>
            </w:r>
            <w:r w:rsidR="00AE6C37">
              <w:instrText xml:space="preserve"> SEQ Tabelle \* ARABIC </w:instrText>
            </w:r>
            <w:r w:rsidR="00AE6C37">
              <w:fldChar w:fldCharType="separate"/>
            </w:r>
            <w:r w:rsidR="00FD6355">
              <w:t>9</w:t>
            </w:r>
            <w:r w:rsidR="00AE6C37">
              <w:fldChar w:fldCharType="end"/>
            </w:r>
            <w:r w:rsidR="000D0B76" w:rsidRPr="000D0B76">
              <w:t xml:space="preserve"> (émissions de gaz à effet de serre en 2010 et en 2011)</w:t>
            </w:r>
            <w:bookmarkEnd w:id="78"/>
          </w:p>
        </w:tc>
      </w:tr>
      <w:tr w:rsidR="000D0B76" w:rsidRPr="00936B78" w14:paraId="6C7B38FE" w14:textId="77777777" w:rsidTr="000D0B76">
        <w:trPr>
          <w:cantSplit/>
        </w:trPr>
        <w:tc>
          <w:tcPr>
            <w:tcW w:w="2181" w:type="dxa"/>
          </w:tcPr>
          <w:p w14:paraId="7D0B3D9F" w14:textId="77777777" w:rsidR="000D0B76" w:rsidRDefault="000D0B76" w:rsidP="00674C13">
            <w:pPr>
              <w:pStyle w:val="Tabellentitel"/>
              <w:ind w:left="0"/>
            </w:pPr>
            <w:r w:rsidRPr="00B70AE8">
              <w:t>Description générale</w:t>
            </w:r>
          </w:p>
        </w:tc>
        <w:tc>
          <w:tcPr>
            <w:tcW w:w="7515" w:type="dxa"/>
          </w:tcPr>
          <w:p w14:paraId="334801D6" w14:textId="77777777" w:rsidR="000D0B76" w:rsidRDefault="000D0B76" w:rsidP="00674C13">
            <w:pPr>
              <w:ind w:left="0"/>
            </w:pPr>
            <w:r w:rsidRPr="00B70AE8">
              <w:t>Aucune.</w:t>
            </w:r>
          </w:p>
        </w:tc>
      </w:tr>
      <w:tr w:rsidR="000D0B76" w:rsidRPr="00F82B1E" w14:paraId="1A2C5A86" w14:textId="77777777" w:rsidTr="000D0B76">
        <w:trPr>
          <w:cantSplit/>
        </w:trPr>
        <w:tc>
          <w:tcPr>
            <w:tcW w:w="2181" w:type="dxa"/>
            <w:shd w:val="clear" w:color="auto" w:fill="F2DBDB"/>
          </w:tcPr>
          <w:p w14:paraId="4E4668B3" w14:textId="77777777" w:rsidR="000D0B76" w:rsidRDefault="000D0B76" w:rsidP="00674C13">
            <w:pPr>
              <w:pStyle w:val="Tabellentitel"/>
              <w:ind w:left="0"/>
            </w:pPr>
            <w:r w:rsidRPr="00B70AE8">
              <w:lastRenderedPageBreak/>
              <w:t>Exigences</w:t>
            </w:r>
          </w:p>
        </w:tc>
        <w:tc>
          <w:tcPr>
            <w:tcW w:w="7515" w:type="dxa"/>
            <w:shd w:val="clear" w:color="auto" w:fill="F2DBDB"/>
          </w:tcPr>
          <w:p w14:paraId="7E2B81C0" w14:textId="77777777" w:rsidR="0007304D" w:rsidRDefault="003714FF" w:rsidP="0007304D">
            <w:pPr>
              <w:pStyle w:val="AuflistungmitCheckbox"/>
            </w:pPr>
            <w:r w:rsidRPr="00B70AE8">
              <w:fldChar w:fldCharType="begin">
                <w:ffData>
                  <w:name w:val="Kontrollkästchen1"/>
                  <w:enabled/>
                  <w:calcOnExit w:val="0"/>
                  <w:checkBox>
                    <w:sizeAuto/>
                    <w:default w:val="0"/>
                  </w:checkBox>
                </w:ffData>
              </w:fldChar>
            </w:r>
            <w:r w:rsidR="000D0B76" w:rsidRPr="00B70AE8">
              <w:instrText xml:space="preserve"> FORMCHECKBOX </w:instrText>
            </w:r>
            <w:r w:rsidR="00584FFB">
              <w:fldChar w:fldCharType="separate"/>
            </w:r>
            <w:r w:rsidRPr="00B70AE8">
              <w:fldChar w:fldCharType="end"/>
            </w:r>
            <w:r w:rsidR="000D0B76" w:rsidRPr="00B70AE8">
              <w:tab/>
              <w:t>Les entreprises au bénéfice d’une exemption de la taxe sur le CO</w:t>
            </w:r>
            <w:r w:rsidR="000D0B76" w:rsidRPr="00B70AE8">
              <w:rPr>
                <w:vertAlign w:val="subscript"/>
              </w:rPr>
              <w:t>2</w:t>
            </w:r>
            <w:r w:rsidR="000D0B76" w:rsidRPr="00B70AE8">
              <w:t xml:space="preserve"> avec des émissions de CO</w:t>
            </w:r>
            <w:r w:rsidR="000D0B76" w:rsidRPr="00B70AE8">
              <w:rPr>
                <w:vertAlign w:val="subscript"/>
              </w:rPr>
              <w:t>2</w:t>
            </w:r>
            <w:r w:rsidR="000D0B76" w:rsidRPr="00B70AE8">
              <w:t xml:space="preserve"> géogènes générées par les procédés, des émissions de CO</w:t>
            </w:r>
            <w:r w:rsidR="000D0B76" w:rsidRPr="00B70AE8">
              <w:rPr>
                <w:vertAlign w:val="subscript"/>
              </w:rPr>
              <w:t>2</w:t>
            </w:r>
            <w:r w:rsidR="000D0B76" w:rsidRPr="00B70AE8">
              <w:t xml:space="preserve"> fossiles générées par exemple par les procédés de production d’acier et d’éthylène, des émissions de N</w:t>
            </w:r>
            <w:r w:rsidR="000D0B76" w:rsidRPr="00B70AE8">
              <w:rPr>
                <w:vertAlign w:val="subscript"/>
              </w:rPr>
              <w:t>2</w:t>
            </w:r>
            <w:r w:rsidR="000D0B76" w:rsidRPr="00B70AE8">
              <w:t>O issues de la production d’acide nitrique, d’acide adipique, de glyoxal ou d’acide glyoxylique ou encore d’hydrocarbures perfluorés générés par la production d’aluminium primaire doivent choisir un indicateur approprié pour présenter ces émissions de gaz à effet de serre. Elles doivent étayer l’indicateur avec un facteur d’émissions s’il est connu ou qu’il peut être déterminé et expliquer brièvement le facteur d’émissions.</w:t>
            </w:r>
            <w:bookmarkStart w:id="79" w:name="_DV_C342"/>
          </w:p>
          <w:p w14:paraId="661DA413" w14:textId="77777777" w:rsidR="000D0B76" w:rsidRPr="0007304D" w:rsidRDefault="0007304D" w:rsidP="0007304D">
            <w:pPr>
              <w:pStyle w:val="AuflistungmitCheckbox"/>
            </w:pPr>
            <w:r>
              <w:rPr>
                <w:rStyle w:val="DeltaViewInsertion"/>
                <w:rFonts w:cs="Arial"/>
                <w:color w:val="auto"/>
                <w:szCs w:val="26"/>
                <w:u w:val="none"/>
              </w:rPr>
              <w:tab/>
            </w:r>
            <w:r w:rsidR="000D0B76" w:rsidRPr="0007304D">
              <w:rPr>
                <w:rStyle w:val="DeltaViewInsertion"/>
                <w:rFonts w:cs="Arial"/>
                <w:color w:val="auto"/>
                <w:szCs w:val="26"/>
                <w:u w:val="none"/>
              </w:rPr>
              <w:t>Les entreprises qui ont remis à l’OFEV un concept de monitoring ne doivent pas dupliquer les données relatives aux indicateurs et aux facteurs d’émissions qui y figurent.</w:t>
            </w:r>
            <w:bookmarkEnd w:id="79"/>
          </w:p>
        </w:tc>
      </w:tr>
      <w:tr w:rsidR="000D0B76" w:rsidRPr="00F82B1E" w14:paraId="0D9BC2D8" w14:textId="77777777" w:rsidTr="000D0B76">
        <w:trPr>
          <w:cantSplit/>
        </w:trPr>
        <w:tc>
          <w:tcPr>
            <w:tcW w:w="2181" w:type="dxa"/>
            <w:shd w:val="clear" w:color="auto" w:fill="F2F2F2"/>
          </w:tcPr>
          <w:p w14:paraId="3299968E" w14:textId="77777777" w:rsidR="000D0B76" w:rsidRDefault="000D0B76" w:rsidP="00674C13">
            <w:pPr>
              <w:pStyle w:val="Tabellentitel"/>
              <w:ind w:left="0"/>
            </w:pPr>
            <w:r w:rsidRPr="00B70AE8">
              <w:t>Aide</w:t>
            </w:r>
          </w:p>
        </w:tc>
        <w:tc>
          <w:tcPr>
            <w:tcW w:w="7515" w:type="dxa"/>
            <w:shd w:val="clear" w:color="auto" w:fill="F2F2F2"/>
          </w:tcPr>
          <w:p w14:paraId="49319130" w14:textId="77777777" w:rsidR="000D0B76" w:rsidRDefault="000D0B76" w:rsidP="00D72126">
            <w:pPr>
              <w:pStyle w:val="AuflistungHilfestellung"/>
            </w:pPr>
            <w:r w:rsidRPr="00B70AE8">
              <w:t>Les émissions de gaz à effet de serre</w:t>
            </w:r>
            <w:r w:rsidRPr="00B70AE8">
              <w:rPr>
                <w:vertAlign w:val="subscript"/>
              </w:rPr>
              <w:t xml:space="preserve"> </w:t>
            </w:r>
            <w:r w:rsidRPr="00B70AE8">
              <w:t xml:space="preserve">des énergies finales sont directement calculées à partir de la consommation d’énergie finale saisie et des facteurs d’émissions indiqués. </w:t>
            </w:r>
          </w:p>
        </w:tc>
      </w:tr>
    </w:tbl>
    <w:p w14:paraId="2B8E9B3B" w14:textId="77777777" w:rsidR="00293C0D" w:rsidRPr="00B4595A" w:rsidRDefault="00BA2457" w:rsidP="000073BF">
      <w:pPr>
        <w:pStyle w:val="berschrift2"/>
      </w:pPr>
      <w:r w:rsidRPr="00B4595A">
        <w:br w:type="page"/>
      </w:r>
      <w:bookmarkStart w:id="80" w:name="_Toc347303574"/>
      <w:bookmarkStart w:id="81" w:name="_Toc347853259"/>
      <w:bookmarkStart w:id="82" w:name="_Toc354127705"/>
      <w:bookmarkStart w:id="83" w:name="_Toc421696274"/>
      <w:r w:rsidR="000D0B76" w:rsidRPr="00B70AE8">
        <w:lastRenderedPageBreak/>
        <w:t>Indicateurs de la consommation d’énergie les deux dernières années</w:t>
      </w:r>
      <w:bookmarkEnd w:id="80"/>
      <w:bookmarkEnd w:id="81"/>
      <w:bookmarkEnd w:id="82"/>
      <w:bookmarkEnd w:id="83"/>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0D0B76" w:rsidRPr="00F82B1E" w14:paraId="796E8C8A" w14:textId="77777777" w:rsidTr="000D0B76">
        <w:trPr>
          <w:cantSplit/>
        </w:trPr>
        <w:tc>
          <w:tcPr>
            <w:tcW w:w="2181" w:type="dxa"/>
            <w:tcBorders>
              <w:bottom w:val="single" w:sz="4" w:space="0" w:color="auto"/>
            </w:tcBorders>
            <w:shd w:val="clear" w:color="auto" w:fill="F2F2F2"/>
          </w:tcPr>
          <w:p w14:paraId="18E5FA35" w14:textId="77777777" w:rsidR="000D0B76" w:rsidRDefault="000D0B76" w:rsidP="003954F5">
            <w:pPr>
              <w:pStyle w:val="Tabellentitel"/>
              <w:ind w:left="0"/>
            </w:pPr>
            <w:r w:rsidRPr="00B70AE8">
              <w:t>Introduction</w:t>
            </w:r>
          </w:p>
        </w:tc>
        <w:tc>
          <w:tcPr>
            <w:tcW w:w="7515" w:type="dxa"/>
            <w:tcBorders>
              <w:bottom w:val="single" w:sz="4" w:space="0" w:color="auto"/>
            </w:tcBorders>
            <w:shd w:val="clear" w:color="auto" w:fill="F2F2F2"/>
          </w:tcPr>
          <w:p w14:paraId="49BC7994" w14:textId="77777777" w:rsidR="000D0B76" w:rsidRPr="0007304D" w:rsidRDefault="000D0B76" w:rsidP="003954F5">
            <w:pPr>
              <w:ind w:left="0"/>
              <w:rPr>
                <w:lang w:val="fr-CH"/>
              </w:rPr>
            </w:pPr>
            <w:r w:rsidRPr="000D0B76">
              <w:rPr>
                <w:lang w:val="fr-CH"/>
              </w:rPr>
              <w:t xml:space="preserve">Dans les tableaux suivants, on établit la liste des indicateurs de la consommation d’énergie déterminants pour l’entreprise. Un indicateur de la consommation d’énergie est une valeur caractéristique de la production qui doit être corrélée le plus fortement possible avec la consommation d’énergie: autrement dit, la consommation d’énergie (pour le procédé) </w:t>
            </w:r>
            <w:r w:rsidRPr="0007304D">
              <w:rPr>
                <w:lang w:val="fr-CH"/>
              </w:rPr>
              <w:t>devrait être soumise aux mêmes fluctuations que l’indicateur de la consommation d’énergie.</w:t>
            </w:r>
          </w:p>
          <w:p w14:paraId="5E90F0B1" w14:textId="027ECDD3" w:rsidR="000D0B76" w:rsidRPr="000D0B76" w:rsidRDefault="000D0B76" w:rsidP="006B02D5">
            <w:pPr>
              <w:ind w:left="0"/>
              <w:rPr>
                <w:lang w:val="fr-CH"/>
              </w:rPr>
            </w:pPr>
            <w:bookmarkStart w:id="84" w:name="_DV_C345"/>
            <w:r w:rsidRPr="0007304D">
              <w:rPr>
                <w:rStyle w:val="DeltaViewInsertion"/>
                <w:color w:val="auto"/>
                <w:szCs w:val="26"/>
                <w:u w:val="none"/>
                <w:lang w:val="fr-CH"/>
              </w:rPr>
              <w:t xml:space="preserve">La Communication </w:t>
            </w:r>
            <w:r w:rsidRPr="0007304D">
              <w:rPr>
                <w:rStyle w:val="DeltaViewInsertion"/>
                <w:color w:val="auto"/>
                <w:szCs w:val="28"/>
                <w:u w:val="none"/>
                <w:lang w:val="fr-CH"/>
              </w:rPr>
              <w:t>«Exemption de la taxe sur le CO</w:t>
            </w:r>
            <w:r w:rsidRPr="0007304D">
              <w:rPr>
                <w:rStyle w:val="DeltaViewInsertion"/>
                <w:color w:val="auto"/>
                <w:szCs w:val="28"/>
                <w:u w:val="none"/>
                <w:vertAlign w:val="subscript"/>
                <w:lang w:val="fr-CH"/>
              </w:rPr>
              <w:t>2</w:t>
            </w:r>
            <w:r w:rsidRPr="0007304D">
              <w:rPr>
                <w:rStyle w:val="DeltaViewInsertion"/>
                <w:color w:val="auto"/>
                <w:szCs w:val="28"/>
                <w:u w:val="none"/>
                <w:lang w:val="fr-CH"/>
              </w:rPr>
              <w:t xml:space="preserve"> sans échange de quotas d’émissions» utilise l</w:t>
            </w:r>
            <w:r w:rsidRPr="0007304D">
              <w:rPr>
                <w:rStyle w:val="DeltaViewInsertion"/>
                <w:color w:val="auto"/>
                <w:szCs w:val="26"/>
                <w:u w:val="none"/>
                <w:lang w:val="fr-CH"/>
              </w:rPr>
              <w:t>es désignations «indicateur de la consommation d’énergie» et «indicateur de la production» comme des synonymes.</w:t>
            </w:r>
            <w:bookmarkEnd w:id="84"/>
            <w:r w:rsidR="006B02D5">
              <w:rPr>
                <w:rStyle w:val="DeltaViewInsertion"/>
                <w:color w:val="auto"/>
                <w:szCs w:val="26"/>
                <w:u w:val="none"/>
                <w:lang w:val="fr-CH"/>
              </w:rPr>
              <w:t xml:space="preserve"> Quant à la directive </w:t>
            </w:r>
            <w:r w:rsidR="006B02D5" w:rsidRPr="0043294D">
              <w:rPr>
                <w:lang w:val="fr-CH"/>
              </w:rPr>
              <w:t>Conventions d’objectifs conclues avec la Confédération et visant l’amélioration de l’efficacité énergétique</w:t>
            </w:r>
            <w:r w:rsidR="006B02D5">
              <w:rPr>
                <w:lang w:val="fr-CH"/>
              </w:rPr>
              <w:t>, elle utilise la désignation «indicateur de production».</w:t>
            </w:r>
          </w:p>
        </w:tc>
      </w:tr>
      <w:tr w:rsidR="00BA2457" w:rsidRPr="00F82B1E" w14:paraId="7554E24F" w14:textId="77777777" w:rsidTr="000D0B76">
        <w:trPr>
          <w:cantSplit/>
        </w:trPr>
        <w:tc>
          <w:tcPr>
            <w:tcW w:w="9696" w:type="dxa"/>
            <w:gridSpan w:val="2"/>
            <w:tcBorders>
              <w:bottom w:val="single" w:sz="4" w:space="0" w:color="auto"/>
            </w:tcBorders>
          </w:tcPr>
          <w:p w14:paraId="21128CF6" w14:textId="77777777" w:rsidR="00BA2457" w:rsidRPr="00936B78" w:rsidRDefault="00C47AA9" w:rsidP="003954F5">
            <w:pPr>
              <w:pStyle w:val="Bild"/>
              <w:ind w:left="0" w:right="0"/>
            </w:pPr>
            <w:r>
              <w:drawing>
                <wp:inline distT="0" distB="0" distL="0" distR="0" wp14:anchorId="4E0A740E" wp14:editId="02132E62">
                  <wp:extent cx="6085205" cy="2806065"/>
                  <wp:effectExtent l="1905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6085205" cy="2806065"/>
                          </a:xfrm>
                          <a:prstGeom prst="rect">
                            <a:avLst/>
                          </a:prstGeom>
                          <a:noFill/>
                          <a:ln w="9525">
                            <a:noFill/>
                            <a:miter lim="800000"/>
                            <a:headEnd/>
                            <a:tailEnd/>
                          </a:ln>
                        </pic:spPr>
                      </pic:pic>
                    </a:graphicData>
                  </a:graphic>
                </wp:inline>
              </w:drawing>
            </w:r>
          </w:p>
          <w:p w14:paraId="5FB67289" w14:textId="77777777" w:rsidR="00BA2457" w:rsidRPr="00DD0FC7" w:rsidRDefault="00757FB5" w:rsidP="00757FB5">
            <w:pPr>
              <w:pStyle w:val="BildTabellenbeschriftung"/>
            </w:pPr>
            <w:bookmarkStart w:id="85" w:name="_Toc421696306"/>
            <w:r w:rsidRPr="00757FB5">
              <w:t xml:space="preserve">Tableau </w:t>
            </w:r>
            <w:r w:rsidR="00AE6C37">
              <w:fldChar w:fldCharType="begin"/>
            </w:r>
            <w:r w:rsidR="00AE6C37">
              <w:instrText xml:space="preserve"> SEQ Tabelle \* ARABIC </w:instrText>
            </w:r>
            <w:r w:rsidR="00AE6C37">
              <w:fldChar w:fldCharType="separate"/>
            </w:r>
            <w:r w:rsidR="00FD6355">
              <w:t>10</w:t>
            </w:r>
            <w:r w:rsidR="00AE6C37">
              <w:fldChar w:fldCharType="end"/>
            </w:r>
            <w:r w:rsidRPr="00757FB5">
              <w:t xml:space="preserve"> </w:t>
            </w:r>
            <w:r w:rsidR="00DD0FC7" w:rsidRPr="00757FB5">
              <w:t>(indicateurs</w:t>
            </w:r>
            <w:r w:rsidR="00DD0FC7" w:rsidRPr="00DD0FC7">
              <w:t xml:space="preserve"> de la consommation d’énergie en 2010)</w:t>
            </w:r>
            <w:bookmarkEnd w:id="85"/>
          </w:p>
        </w:tc>
      </w:tr>
      <w:tr w:rsidR="00BA2457" w:rsidRPr="00F82B1E" w14:paraId="68D0E2F4" w14:textId="77777777" w:rsidTr="000D0B76">
        <w:trPr>
          <w:cantSplit/>
        </w:trPr>
        <w:tc>
          <w:tcPr>
            <w:tcW w:w="9696" w:type="dxa"/>
            <w:gridSpan w:val="2"/>
            <w:tcBorders>
              <w:bottom w:val="single" w:sz="4" w:space="0" w:color="auto"/>
            </w:tcBorders>
          </w:tcPr>
          <w:p w14:paraId="547AEA28" w14:textId="77777777" w:rsidR="00BA2457" w:rsidRPr="003954F5" w:rsidRDefault="00C47AA9" w:rsidP="003954F5">
            <w:pPr>
              <w:pStyle w:val="Bild"/>
              <w:ind w:left="0" w:right="0"/>
              <w:rPr>
                <w:lang w:val="fr-CH"/>
              </w:rPr>
            </w:pPr>
            <w:r>
              <w:lastRenderedPageBreak/>
              <w:drawing>
                <wp:inline distT="0" distB="0" distL="0" distR="0" wp14:anchorId="34E70B4B" wp14:editId="1EA8FDBD">
                  <wp:extent cx="6085205" cy="2806065"/>
                  <wp:effectExtent l="1905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6085205" cy="2806065"/>
                          </a:xfrm>
                          <a:prstGeom prst="rect">
                            <a:avLst/>
                          </a:prstGeom>
                          <a:noFill/>
                          <a:ln w="9525">
                            <a:noFill/>
                            <a:miter lim="800000"/>
                            <a:headEnd/>
                            <a:tailEnd/>
                          </a:ln>
                        </pic:spPr>
                      </pic:pic>
                    </a:graphicData>
                  </a:graphic>
                </wp:inline>
              </w:drawing>
            </w:r>
          </w:p>
          <w:p w14:paraId="0A75EB4F" w14:textId="77777777" w:rsidR="00BA2457" w:rsidRPr="00DD0FC7" w:rsidRDefault="00757FB5" w:rsidP="00757FB5">
            <w:pPr>
              <w:pStyle w:val="BildTabellenbeschriftung"/>
            </w:pPr>
            <w:bookmarkStart w:id="86" w:name="_Toc421696307"/>
            <w:r w:rsidRPr="00B70AE8">
              <w:t xml:space="preserve">Tableau </w:t>
            </w:r>
            <w:r w:rsidR="00AE6C37">
              <w:fldChar w:fldCharType="begin"/>
            </w:r>
            <w:r w:rsidR="00AE6C37">
              <w:instrText xml:space="preserve"> SEQ Tabelle \* ARABIC </w:instrText>
            </w:r>
            <w:r w:rsidR="00AE6C37">
              <w:fldChar w:fldCharType="separate"/>
            </w:r>
            <w:r w:rsidR="00FD6355">
              <w:t>11</w:t>
            </w:r>
            <w:r w:rsidR="00AE6C37">
              <w:fldChar w:fldCharType="end"/>
            </w:r>
            <w:r w:rsidRPr="00DD0FC7">
              <w:t xml:space="preserve"> </w:t>
            </w:r>
            <w:r w:rsidR="00DD0FC7" w:rsidRPr="00DD0FC7">
              <w:t>(indicateurs de la consommation d’énergie en 2011)</w:t>
            </w:r>
            <w:bookmarkEnd w:id="86"/>
          </w:p>
        </w:tc>
      </w:tr>
      <w:tr w:rsidR="00DD0FC7" w:rsidRPr="00F82B1E" w14:paraId="0EADF3E3" w14:textId="77777777" w:rsidTr="000D0B76">
        <w:trPr>
          <w:cantSplit/>
        </w:trPr>
        <w:tc>
          <w:tcPr>
            <w:tcW w:w="2181" w:type="dxa"/>
          </w:tcPr>
          <w:p w14:paraId="309F9FC1" w14:textId="77777777" w:rsidR="00DD0FC7" w:rsidRDefault="00DD0FC7" w:rsidP="003954F5">
            <w:pPr>
              <w:pStyle w:val="Tabellentitel"/>
              <w:ind w:left="0" w:right="0"/>
            </w:pPr>
            <w:r w:rsidRPr="00B70AE8">
              <w:t xml:space="preserve">Description </w:t>
            </w:r>
            <w:r w:rsidR="0007304D">
              <w:br/>
            </w:r>
            <w:r w:rsidRPr="00B70AE8">
              <w:t>générale</w:t>
            </w:r>
          </w:p>
        </w:tc>
        <w:tc>
          <w:tcPr>
            <w:tcW w:w="7515" w:type="dxa"/>
            <w:tcBorders>
              <w:bottom w:val="single" w:sz="4" w:space="0" w:color="auto"/>
            </w:tcBorders>
            <w:shd w:val="clear" w:color="auto" w:fill="B9DAFF"/>
          </w:tcPr>
          <w:p w14:paraId="76C08547" w14:textId="77777777" w:rsidR="00DD0FC7" w:rsidRPr="00DD0FC7" w:rsidRDefault="00DD0FC7" w:rsidP="003954F5">
            <w:pPr>
              <w:ind w:left="0" w:right="0"/>
              <w:rPr>
                <w:lang w:val="fr-CH"/>
              </w:rPr>
            </w:pPr>
            <w:r w:rsidRPr="00DD0FC7">
              <w:rPr>
                <w:lang w:val="fr-CH"/>
              </w:rPr>
              <w:t>Le plus simple est d’utiliser la quantité de lait transformé dans l’entreprise comme indicateur unique de la consommation d’énergie.</w:t>
            </w:r>
          </w:p>
          <w:p w14:paraId="52C5F0A6" w14:textId="77777777" w:rsidR="00DD0FC7" w:rsidRPr="00DD0FC7" w:rsidRDefault="00DD0FC7" w:rsidP="003954F5">
            <w:pPr>
              <w:ind w:left="0" w:right="0"/>
              <w:rPr>
                <w:lang w:val="fr-CH"/>
              </w:rPr>
            </w:pPr>
            <w:r w:rsidRPr="00DD0FC7">
              <w:rPr>
                <w:lang w:val="fr-CH"/>
              </w:rPr>
              <w:t>Mais, selon le produit final (lait pasteurisé, lait UHT, fromage, crème), le lait est soumis à des procédés différents qui nécessitent une quantité d’énergie différente. Par conséquent, il vaut mieux prendre comme indicateur une combinaison des différents produits finaux. C’est la raison pour laquelle, afin de faciliter la compréhension, on indique dans le tableau ci-dessus, en plus de la quantité de lait transformé, aussi les quantités de lait requises pour fabriquer les différents groupes de produits.</w:t>
            </w:r>
            <w:r w:rsidRPr="00DD0FC7">
              <w:rPr>
                <w:lang w:val="fr-CH"/>
              </w:rPr>
              <w:br/>
              <w:t>Outre la quantité de produits fabriqués, les nettoyages CIP (Clean in Place) p. ex. déterminent aussi la consommation d’énergie. L’évaluation des nettoyages CIP n’est pour l’instant pas disponible sur une base annuelle.</w:t>
            </w:r>
          </w:p>
        </w:tc>
      </w:tr>
      <w:tr w:rsidR="00DD0FC7" w:rsidRPr="00936B78" w14:paraId="63BF70AE" w14:textId="77777777" w:rsidTr="000D0B76">
        <w:trPr>
          <w:cantSplit/>
        </w:trPr>
        <w:tc>
          <w:tcPr>
            <w:tcW w:w="2181" w:type="dxa"/>
          </w:tcPr>
          <w:p w14:paraId="42720E4D" w14:textId="77777777" w:rsidR="00DD0FC7" w:rsidRDefault="00DD0FC7" w:rsidP="003954F5">
            <w:pPr>
              <w:pStyle w:val="Tabellentitel"/>
              <w:ind w:left="0" w:right="0"/>
            </w:pPr>
            <w:r w:rsidRPr="00B70AE8">
              <w:t xml:space="preserve">Description des </w:t>
            </w:r>
            <w:r w:rsidRPr="00B70AE8">
              <w:br/>
              <w:t xml:space="preserve">différents points: </w:t>
            </w:r>
          </w:p>
        </w:tc>
        <w:tc>
          <w:tcPr>
            <w:tcW w:w="7515" w:type="dxa"/>
            <w:shd w:val="clear" w:color="auto" w:fill="B9DAFF"/>
          </w:tcPr>
          <w:p w14:paraId="2C9B7AB6" w14:textId="77777777" w:rsidR="00DD0FC7" w:rsidRDefault="00DD0FC7" w:rsidP="000B2687">
            <w:pPr>
              <w:pStyle w:val="NummerierteAufzhlung"/>
              <w:numPr>
                <w:ilvl w:val="0"/>
                <w:numId w:val="0"/>
              </w:numPr>
              <w:spacing w:after="0"/>
              <w:ind w:left="340" w:hanging="340"/>
              <w:rPr>
                <w:lang w:val="fr-CH"/>
              </w:rPr>
            </w:pPr>
            <w:r w:rsidRPr="00B70AE8">
              <w:rPr>
                <w:lang w:val="fr-CH"/>
              </w:rPr>
              <w:t>Aucune</w:t>
            </w:r>
          </w:p>
        </w:tc>
      </w:tr>
      <w:tr w:rsidR="00DD0FC7" w:rsidRPr="00F82B1E" w14:paraId="284AE070" w14:textId="77777777" w:rsidTr="000D0B76">
        <w:trPr>
          <w:cantSplit/>
        </w:trPr>
        <w:tc>
          <w:tcPr>
            <w:tcW w:w="2181" w:type="dxa"/>
            <w:shd w:val="clear" w:color="auto" w:fill="F2DBDB"/>
          </w:tcPr>
          <w:p w14:paraId="4252B7E0" w14:textId="77777777" w:rsidR="00DD0FC7" w:rsidRDefault="00DD0FC7" w:rsidP="003954F5">
            <w:pPr>
              <w:pStyle w:val="Tabellentitel"/>
              <w:ind w:left="0" w:right="0"/>
            </w:pPr>
            <w:r w:rsidRPr="00B70AE8">
              <w:t>Exigences</w:t>
            </w:r>
          </w:p>
        </w:tc>
        <w:tc>
          <w:tcPr>
            <w:tcW w:w="7515" w:type="dxa"/>
            <w:shd w:val="clear" w:color="auto" w:fill="F2DBDB"/>
          </w:tcPr>
          <w:p w14:paraId="7A64DF18" w14:textId="3BAF41F5" w:rsidR="00DD0FC7" w:rsidRDefault="003714FF" w:rsidP="00D72126">
            <w:pPr>
              <w:pStyle w:val="AuflistungmitCheckbox"/>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t>Les données sont relevées pour les deux dernières années. Les entreprises qui soumettent une demande d’exemption de la taxe sur le CO</w:t>
            </w:r>
            <w:r w:rsidR="00DD0FC7" w:rsidRPr="00B70AE8">
              <w:rPr>
                <w:vertAlign w:val="subscript"/>
              </w:rPr>
              <w:t xml:space="preserve">2 </w:t>
            </w:r>
            <w:r w:rsidR="00E91F3B">
              <w:t xml:space="preserve">et/ou de remboursement du supplément </w:t>
            </w:r>
            <w:r w:rsidR="00DD0FC7" w:rsidRPr="00B70AE8">
              <w:t>ou une proposition de convention d’objectif</w:t>
            </w:r>
            <w:r w:rsidR="00282100">
              <w:t>s</w:t>
            </w:r>
            <w:r w:rsidR="00DD0FC7" w:rsidRPr="00B70AE8">
              <w:t xml:space="preserve"> à partir de 2013 doivent saisir les années 2010 et 2011.</w:t>
            </w:r>
          </w:p>
          <w:p w14:paraId="0ACF89F1" w14:textId="4D8231F7" w:rsidR="00DD0FC7" w:rsidRDefault="003714FF" w:rsidP="00D72126">
            <w:pPr>
              <w:pStyle w:val="AuflistungmitCheckbox"/>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t>Saisir au minimum un indicateur de la consommation d’énergie permettant de comprendre les fluctuations de la consommation d’énergie dans le passé et dans le futur. En règle générale, on doit indiquer ici la grandeur de référence choisie dans la convention d’objectif</w:t>
            </w:r>
            <w:r w:rsidR="00282100">
              <w:t>s</w:t>
            </w:r>
            <w:r w:rsidR="00DD0FC7" w:rsidRPr="00B70AE8">
              <w:t>.</w:t>
            </w:r>
          </w:p>
          <w:p w14:paraId="56EB9D85" w14:textId="77777777" w:rsidR="00DD0FC7" w:rsidRDefault="003714FF" w:rsidP="00D72126">
            <w:pPr>
              <w:pStyle w:val="AuflistungmitCheckbox"/>
              <w:rPr>
                <w:b/>
              </w:rPr>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t>Saisir si possible les indicateurs de la consommation d’énergie sur une base mensuelle. Si ce n’est pas possible, il faut le justifier.</w:t>
            </w:r>
          </w:p>
          <w:p w14:paraId="2806CF49" w14:textId="77777777" w:rsidR="00DD0FC7" w:rsidRDefault="003714FF" w:rsidP="00D72126">
            <w:pPr>
              <w:pStyle w:val="AuflistungmitCheckbox"/>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r>
            <w:r w:rsidR="00DD0FC7" w:rsidRPr="00B70AE8">
              <w:rPr>
                <w:b/>
              </w:rPr>
              <w:t>Facultatif:</w:t>
            </w:r>
            <w:r w:rsidR="00DD0FC7" w:rsidRPr="00B70AE8">
              <w:t xml:space="preserve"> saisir des indicateurs supplémentaires utiles pour interpréter l’évolution de la consommation d’énergie. Plus la consommation d’énergie est corrélée avec les indicateurs, plus il est facile d’extrapoler les évolutions futures de la consommation d’énergie.</w:t>
            </w:r>
          </w:p>
        </w:tc>
      </w:tr>
      <w:tr w:rsidR="00DD0FC7" w:rsidRPr="00F82B1E" w14:paraId="65CBF9E0" w14:textId="77777777" w:rsidTr="000D0B76">
        <w:trPr>
          <w:cantSplit/>
        </w:trPr>
        <w:tc>
          <w:tcPr>
            <w:tcW w:w="2181" w:type="dxa"/>
            <w:shd w:val="clear" w:color="auto" w:fill="F2F2F2"/>
          </w:tcPr>
          <w:p w14:paraId="5B90F603" w14:textId="77777777" w:rsidR="00DD0FC7" w:rsidRDefault="00DD0FC7" w:rsidP="003954F5">
            <w:pPr>
              <w:pStyle w:val="Tabellentitel"/>
              <w:ind w:left="0" w:right="0"/>
            </w:pPr>
            <w:r w:rsidRPr="00B70AE8">
              <w:lastRenderedPageBreak/>
              <w:t>Aide</w:t>
            </w:r>
          </w:p>
        </w:tc>
        <w:tc>
          <w:tcPr>
            <w:tcW w:w="7515" w:type="dxa"/>
            <w:shd w:val="clear" w:color="auto" w:fill="F2F2F2"/>
          </w:tcPr>
          <w:p w14:paraId="633ABC4F" w14:textId="77777777" w:rsidR="00DD0FC7" w:rsidRDefault="00DD0FC7" w:rsidP="00D72126">
            <w:pPr>
              <w:pStyle w:val="AuflistungHilfestellung"/>
            </w:pPr>
            <w:r w:rsidRPr="00B70AE8">
              <w:t xml:space="preserve">Un indicateur de la consommation d’énergie est une caractéristique permettant d’évaluer la consommation d’énergie annuelle d’une entreprise. </w:t>
            </w:r>
          </w:p>
          <w:p w14:paraId="5F572021" w14:textId="77777777" w:rsidR="002D1694" w:rsidRDefault="00DD0FC7" w:rsidP="00D72126">
            <w:pPr>
              <w:pStyle w:val="AuflistungHilfestellung"/>
            </w:pPr>
            <w:r w:rsidRPr="00B70AE8">
              <w:t xml:space="preserve">Des indicateurs de la consommation d’énergie typiques sont p. ex. </w:t>
            </w:r>
          </w:p>
          <w:p w14:paraId="2C786E60" w14:textId="77777777" w:rsidR="00DD0FC7" w:rsidRDefault="00DD0FC7" w:rsidP="002D1694">
            <w:pPr>
              <w:pStyle w:val="AuflistungmitCheckbox"/>
              <w:numPr>
                <w:ilvl w:val="0"/>
                <w:numId w:val="29"/>
              </w:numPr>
              <w:ind w:left="709" w:hanging="349"/>
            </w:pPr>
            <w:r w:rsidRPr="00B70AE8">
              <w:t xml:space="preserve">la quantité de matières premières transformées (p. ex. litres de lait transformé); </w:t>
            </w:r>
          </w:p>
          <w:p w14:paraId="232F314B" w14:textId="77777777" w:rsidR="00DD0FC7" w:rsidRDefault="00DD0FC7" w:rsidP="002D1694">
            <w:pPr>
              <w:pStyle w:val="AuflistungmitCheckbox"/>
              <w:numPr>
                <w:ilvl w:val="0"/>
                <w:numId w:val="29"/>
              </w:numPr>
              <w:ind w:left="709" w:hanging="349"/>
            </w:pPr>
            <w:r w:rsidRPr="00B70AE8">
              <w:t xml:space="preserve">la quantité de produits finaux fabriqués (p. ex. litres de bière </w:t>
            </w:r>
            <w:r w:rsidR="002D1694">
              <w:br/>
            </w:r>
            <w:r w:rsidRPr="00B70AE8">
              <w:t xml:space="preserve">produite); </w:t>
            </w:r>
          </w:p>
          <w:p w14:paraId="6482CA9C" w14:textId="77777777" w:rsidR="00DD0FC7" w:rsidRDefault="00DD0FC7" w:rsidP="002D1694">
            <w:pPr>
              <w:pStyle w:val="AuflistungmitCheckbox"/>
              <w:numPr>
                <w:ilvl w:val="0"/>
                <w:numId w:val="29"/>
              </w:numPr>
              <w:ind w:left="709" w:hanging="349"/>
            </w:pPr>
            <w:r w:rsidRPr="00B70AE8">
              <w:t>la quantité transformée thermiquement p. ex. si un produit final passe différentes fois par un procédé de fabrication (p. ex. masse incandescente pour la production de tubes en acier au lieu de la quantité de tubes en acier fabriqués);</w:t>
            </w:r>
          </w:p>
          <w:p w14:paraId="08A39DA3" w14:textId="77777777" w:rsidR="00DD0FC7" w:rsidRDefault="00DD0FC7" w:rsidP="002D1694">
            <w:pPr>
              <w:pStyle w:val="AuflistungmitCheckbox"/>
              <w:numPr>
                <w:ilvl w:val="0"/>
                <w:numId w:val="29"/>
              </w:numPr>
              <w:ind w:left="709" w:hanging="349"/>
            </w:pPr>
            <w:r w:rsidRPr="00B70AE8">
              <w:t>la quantité fabriquée de différents produits ou groupes de produits si une valeur de référence unique ne permet pas de tirer des conclusions.</w:t>
            </w:r>
          </w:p>
          <w:p w14:paraId="07E33D53" w14:textId="77777777" w:rsidR="00DD0FC7" w:rsidRDefault="00DD0FC7" w:rsidP="00D72126">
            <w:pPr>
              <w:pStyle w:val="AuflistungHilfestellung"/>
            </w:pPr>
            <w:r w:rsidRPr="00B70AE8">
              <w:t xml:space="preserve">L’indicateur de la consommation d’énergie peut être utilisé pour justifier les évolutions futures de la consommation d’énergie. S’il est relevé chaque mois conjointement avec la consommation d’énergie, il peut être validé sur 24 mois au moyen des deux années précédentes. </w:t>
            </w:r>
          </w:p>
          <w:p w14:paraId="33B45B17" w14:textId="77777777" w:rsidR="00DD0FC7" w:rsidRDefault="00DD0FC7" w:rsidP="00D72126">
            <w:pPr>
              <w:pStyle w:val="AuflistungHilfestellung"/>
            </w:pPr>
            <w:r w:rsidRPr="00B70AE8">
              <w:t>Les indicateurs figurant dans ce guide ont notamment les buts suivants:</w:t>
            </w:r>
          </w:p>
          <w:p w14:paraId="29175534" w14:textId="77777777" w:rsidR="00DD0FC7" w:rsidRDefault="00DD0FC7" w:rsidP="002D1694">
            <w:pPr>
              <w:pStyle w:val="AuflistungmitCheckbox"/>
              <w:numPr>
                <w:ilvl w:val="0"/>
                <w:numId w:val="29"/>
              </w:numPr>
              <w:ind w:left="709" w:hanging="349"/>
            </w:pPr>
            <w:r w:rsidRPr="00B70AE8">
              <w:t>Comparaison des indicateurs de la consommation d’énergie avec la consommation d’énergie en 2011 et en 2010 sans chauffage et validation des indicateurs. Ainsi (s’il y a une corrélation): traçabilité quantitative des variations de la consommation d’énergie pendant la période d’engagement de 2013 à 2020 avec le monitoring.</w:t>
            </w:r>
          </w:p>
          <w:p w14:paraId="7F2C692E" w14:textId="77777777" w:rsidR="00DD0FC7" w:rsidRDefault="00DD0FC7" w:rsidP="002D1694">
            <w:pPr>
              <w:pStyle w:val="AuflistungmitCheckbox"/>
              <w:numPr>
                <w:ilvl w:val="0"/>
                <w:numId w:val="29"/>
              </w:numPr>
              <w:ind w:left="709" w:hanging="349"/>
            </w:pPr>
            <w:r w:rsidRPr="00B70AE8">
              <w:t>Définition de valeurs de référence (benchmarks) utiles qui peuvent être utilisées pour la comparaison avec d’autres entreprises de la même branche.</w:t>
            </w:r>
          </w:p>
        </w:tc>
      </w:tr>
    </w:tbl>
    <w:p w14:paraId="5D3E036E" w14:textId="77777777" w:rsidR="00293C0D" w:rsidRPr="00B4595A" w:rsidRDefault="0051725E" w:rsidP="000073BF">
      <w:pPr>
        <w:pStyle w:val="berschrift2"/>
      </w:pPr>
      <w:r w:rsidRPr="00B4595A">
        <w:br w:type="page"/>
      </w:r>
      <w:bookmarkStart w:id="87" w:name="_Toc347303575"/>
      <w:bookmarkStart w:id="88" w:name="_Toc347853260"/>
      <w:bookmarkStart w:id="89" w:name="_Toc354127708"/>
      <w:bookmarkStart w:id="90" w:name="_Toc421696275"/>
      <w:r w:rsidR="00DD0FC7" w:rsidRPr="00B70AE8">
        <w:lastRenderedPageBreak/>
        <w:t>Mesures réalisées visant à économiser l’énergie et à réduire les émissions de CO</w:t>
      </w:r>
      <w:r w:rsidR="00DD0FC7" w:rsidRPr="00B70AE8">
        <w:rPr>
          <w:vertAlign w:val="subscript"/>
        </w:rPr>
        <w:t>2</w:t>
      </w:r>
      <w:bookmarkEnd w:id="87"/>
      <w:bookmarkEnd w:id="88"/>
      <w:bookmarkEnd w:id="89"/>
      <w:bookmarkEnd w:id="90"/>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DD0FC7" w:rsidRPr="00F82B1E" w14:paraId="6EFDD3F9" w14:textId="77777777" w:rsidTr="00DD0FC7">
        <w:trPr>
          <w:cantSplit/>
        </w:trPr>
        <w:tc>
          <w:tcPr>
            <w:tcW w:w="2181" w:type="dxa"/>
            <w:tcBorders>
              <w:bottom w:val="single" w:sz="4" w:space="0" w:color="auto"/>
            </w:tcBorders>
            <w:shd w:val="clear" w:color="auto" w:fill="F2F2F2"/>
          </w:tcPr>
          <w:p w14:paraId="2F1672DF" w14:textId="77777777" w:rsidR="00DD0FC7" w:rsidRDefault="00DD0FC7" w:rsidP="0068766D">
            <w:pPr>
              <w:pStyle w:val="Tabellentitel"/>
              <w:ind w:left="0"/>
            </w:pPr>
            <w:r w:rsidRPr="00B70AE8">
              <w:t>Introduction</w:t>
            </w:r>
          </w:p>
        </w:tc>
        <w:tc>
          <w:tcPr>
            <w:tcW w:w="7515" w:type="dxa"/>
            <w:tcBorders>
              <w:bottom w:val="single" w:sz="4" w:space="0" w:color="auto"/>
            </w:tcBorders>
            <w:shd w:val="clear" w:color="auto" w:fill="F2F2F2"/>
          </w:tcPr>
          <w:p w14:paraId="0B419BAC" w14:textId="77777777" w:rsidR="00DD0FC7" w:rsidRPr="00DD0FC7" w:rsidRDefault="00DD0FC7" w:rsidP="0068766D">
            <w:pPr>
              <w:ind w:left="0" w:right="0"/>
              <w:rPr>
                <w:lang w:val="fr-CH"/>
              </w:rPr>
            </w:pPr>
            <w:r w:rsidRPr="00DD0FC7">
              <w:rPr>
                <w:lang w:val="fr-CH"/>
              </w:rPr>
              <w:t>Dans le tableau suivant, on doit dresser la liste des principales mesures d’économie d’énergie et de réduction des émissions de gaz à effet de serre déjà réalisées. L’objectif est de se faire une idée des mesures mises en œuvre. Les entreprises qui ont déjà largement contribué à réduire la consommation d’énergie peuvent indiquer ici leurs investissements. On doit décrire les mesures de manière aussi compréhensible que possible.</w:t>
            </w:r>
          </w:p>
        </w:tc>
      </w:tr>
      <w:tr w:rsidR="00C4047B" w:rsidRPr="00F82B1E" w14:paraId="55B94615" w14:textId="77777777" w:rsidTr="00DD0FC7">
        <w:trPr>
          <w:cantSplit/>
        </w:trPr>
        <w:tc>
          <w:tcPr>
            <w:tcW w:w="9696" w:type="dxa"/>
            <w:gridSpan w:val="2"/>
            <w:tcBorders>
              <w:bottom w:val="single" w:sz="4" w:space="0" w:color="auto"/>
            </w:tcBorders>
          </w:tcPr>
          <w:p w14:paraId="1AB9E408" w14:textId="77777777" w:rsidR="00783DAB" w:rsidRPr="00936B78" w:rsidRDefault="00C47AA9" w:rsidP="00F16C61">
            <w:pPr>
              <w:pStyle w:val="BildTabellenbeschriftung"/>
            </w:pPr>
            <w:r>
              <w:rPr>
                <w:lang w:val="de-CH"/>
              </w:rPr>
              <w:drawing>
                <wp:inline distT="0" distB="0" distL="0" distR="0" wp14:anchorId="541AFCB2" wp14:editId="2A5D2BFB">
                  <wp:extent cx="6069965" cy="1970405"/>
                  <wp:effectExtent l="19050" t="0" r="6985"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6069965" cy="1970405"/>
                          </a:xfrm>
                          <a:prstGeom prst="rect">
                            <a:avLst/>
                          </a:prstGeom>
                          <a:noFill/>
                          <a:ln w="9525">
                            <a:noFill/>
                            <a:miter lim="800000"/>
                            <a:headEnd/>
                            <a:tailEnd/>
                          </a:ln>
                        </pic:spPr>
                      </pic:pic>
                    </a:graphicData>
                  </a:graphic>
                </wp:inline>
              </w:drawing>
            </w:r>
          </w:p>
          <w:p w14:paraId="686DC206" w14:textId="77777777" w:rsidR="00C4047B" w:rsidRPr="00DD0FC7" w:rsidRDefault="00757FB5" w:rsidP="00757FB5">
            <w:pPr>
              <w:pStyle w:val="BildTabellenbeschriftung"/>
            </w:pPr>
            <w:bookmarkStart w:id="91" w:name="_Toc421696308"/>
            <w:r w:rsidRPr="00B70AE8">
              <w:t xml:space="preserve">Tableau </w:t>
            </w:r>
            <w:r w:rsidR="00AE6C37">
              <w:fldChar w:fldCharType="begin"/>
            </w:r>
            <w:r w:rsidR="00AE6C37">
              <w:instrText xml:space="preserve"> SEQ Tabelle \* ARABIC </w:instrText>
            </w:r>
            <w:r w:rsidR="00AE6C37">
              <w:fldChar w:fldCharType="separate"/>
            </w:r>
            <w:r w:rsidR="00FD6355">
              <w:t>12</w:t>
            </w:r>
            <w:r w:rsidR="00AE6C37">
              <w:fldChar w:fldCharType="end"/>
            </w:r>
            <w:r w:rsidRPr="0068766D">
              <w:t xml:space="preserve"> </w:t>
            </w:r>
            <w:r w:rsidR="00DD0FC7" w:rsidRPr="0068766D">
              <w:t>(mesures réalisées visant à réduire les émissions de gaz à effet de serre et à économiser</w:t>
            </w:r>
            <w:r w:rsidR="00DD0FC7" w:rsidRPr="00DD0FC7">
              <w:t xml:space="preserve"> l’énergie)</w:t>
            </w:r>
            <w:bookmarkEnd w:id="91"/>
          </w:p>
        </w:tc>
      </w:tr>
      <w:tr w:rsidR="00DD0FC7" w:rsidRPr="00936B78" w14:paraId="092C2231" w14:textId="77777777" w:rsidTr="00DD0FC7">
        <w:trPr>
          <w:cantSplit/>
        </w:trPr>
        <w:tc>
          <w:tcPr>
            <w:tcW w:w="2181" w:type="dxa"/>
          </w:tcPr>
          <w:p w14:paraId="3FC26EAB" w14:textId="77777777" w:rsidR="00DD0FC7" w:rsidRDefault="00DD0FC7" w:rsidP="0068766D">
            <w:pPr>
              <w:pStyle w:val="Tabellentitel"/>
              <w:ind w:left="0" w:right="0"/>
            </w:pPr>
            <w:r w:rsidRPr="00B70AE8">
              <w:t xml:space="preserve">Descriptions des différentes </w:t>
            </w:r>
            <w:r w:rsidR="002D1694">
              <w:br/>
            </w:r>
            <w:r w:rsidRPr="00B70AE8">
              <w:t xml:space="preserve">mesures: </w:t>
            </w:r>
          </w:p>
        </w:tc>
        <w:tc>
          <w:tcPr>
            <w:tcW w:w="7515" w:type="dxa"/>
            <w:shd w:val="clear" w:color="auto" w:fill="B9DAFF"/>
          </w:tcPr>
          <w:p w14:paraId="211C6433" w14:textId="77777777" w:rsidR="00DD0FC7" w:rsidRPr="0068766D" w:rsidRDefault="00DD0FC7" w:rsidP="000D4B44">
            <w:pPr>
              <w:pStyle w:val="NummerierteAufzhlung"/>
              <w:numPr>
                <w:ilvl w:val="0"/>
                <w:numId w:val="16"/>
              </w:numPr>
              <w:rPr>
                <w:lang w:val="fr-CH"/>
              </w:rPr>
            </w:pPr>
            <w:r w:rsidRPr="0068766D">
              <w:rPr>
                <w:lang w:val="fr-CH"/>
              </w:rPr>
              <w:t xml:space="preserve">Le récupérateur de chaleur des fumées «Economizer» dans la chaudière 1 (production d’eau surchauffée) a été installé pour préchauffer le retour d’eau surchauffée. </w:t>
            </w:r>
            <w:r w:rsidRPr="0068766D">
              <w:rPr>
                <w:lang w:val="fr-CH"/>
              </w:rPr>
              <w:br/>
              <w:t>La température retour de l’eau surchauffée augmente ainsi en moyenne de 90 °C à 95 °C (avec une circulation d’env. 12 m</w:t>
            </w:r>
            <w:r w:rsidRPr="0068766D">
              <w:rPr>
                <w:vertAlign w:val="superscript"/>
                <w:lang w:val="fr-CH"/>
              </w:rPr>
              <w:t>3</w:t>
            </w:r>
            <w:r w:rsidRPr="0068766D">
              <w:rPr>
                <w:lang w:val="fr-CH"/>
              </w:rPr>
              <w:t xml:space="preserve">/h). Ce faisant, la température moyenne des fumées évacuées baisse d’env. 300 °C à 150 °C et quelque 70 kW supplémentaires de la chaleur produite par l’huile de chauffage peuvent être utilisés. </w:t>
            </w:r>
            <w:r w:rsidRPr="0068766D">
              <w:rPr>
                <w:lang w:val="fr-CH"/>
              </w:rPr>
              <w:br/>
              <w:t>On a calculé les économies annuelles avec une puissance moyenne de fonctionnement de 60 kW et 4’000 heures de fonctionnement à pleine charge.</w:t>
            </w:r>
            <w:r w:rsidRPr="0068766D">
              <w:rPr>
                <w:lang w:val="fr-CH"/>
              </w:rPr>
              <w:br/>
              <w:t>Pour des raisons de place, il n’a pas été possible d’installer un récupérateur de chaleur des fumées de plus grandes dimensions.</w:t>
            </w:r>
          </w:p>
          <w:p w14:paraId="593CB658" w14:textId="77777777" w:rsidR="00DD0FC7" w:rsidRDefault="00DD0FC7" w:rsidP="000D4B44">
            <w:pPr>
              <w:pStyle w:val="NummerierteAufzhlung"/>
              <w:numPr>
                <w:ilvl w:val="0"/>
                <w:numId w:val="4"/>
              </w:numPr>
              <w:rPr>
                <w:lang w:val="fr-CH"/>
              </w:rPr>
            </w:pPr>
            <w:r w:rsidRPr="00B70AE8">
              <w:rPr>
                <w:lang w:val="fr-CH"/>
              </w:rPr>
              <w:t>Près de 20 mètres de la conduite circulaire d’eau surchauffée de DN 50 ont été isolés. On a estimé les économies très grossièrement.</w:t>
            </w:r>
          </w:p>
        </w:tc>
      </w:tr>
      <w:tr w:rsidR="00DD0FC7" w:rsidRPr="00F82B1E" w14:paraId="0B8A7049" w14:textId="77777777" w:rsidTr="00DD0FC7">
        <w:trPr>
          <w:cantSplit/>
        </w:trPr>
        <w:tc>
          <w:tcPr>
            <w:tcW w:w="2181" w:type="dxa"/>
            <w:shd w:val="clear" w:color="auto" w:fill="F2DBDB"/>
          </w:tcPr>
          <w:p w14:paraId="7D286B91" w14:textId="77777777" w:rsidR="00DD0FC7" w:rsidRDefault="00DD0FC7" w:rsidP="0068766D">
            <w:pPr>
              <w:pStyle w:val="Tabellentitel"/>
              <w:ind w:left="0" w:right="0"/>
            </w:pPr>
            <w:r w:rsidRPr="00B70AE8">
              <w:lastRenderedPageBreak/>
              <w:t>Exigences</w:t>
            </w:r>
          </w:p>
        </w:tc>
        <w:tc>
          <w:tcPr>
            <w:tcW w:w="7515" w:type="dxa"/>
            <w:shd w:val="clear" w:color="auto" w:fill="F2DBDB"/>
          </w:tcPr>
          <w:p w14:paraId="12B39B9B" w14:textId="77777777" w:rsidR="00DD0FC7" w:rsidRDefault="003714FF" w:rsidP="00D72126">
            <w:pPr>
              <w:pStyle w:val="AuflistungmitCheckbox"/>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t>Les entreprises déjà au bénéfice d’une exemption de la taxe sur le CO</w:t>
            </w:r>
            <w:r w:rsidR="00DD0FC7" w:rsidRPr="00B70AE8">
              <w:rPr>
                <w:vertAlign w:val="subscript"/>
              </w:rPr>
              <w:t>2</w:t>
            </w:r>
            <w:r w:rsidR="00DD0FC7" w:rsidRPr="00B70AE8">
              <w:t xml:space="preserve"> durant la première période d’engagement ne doivent pas dupliquer les données.</w:t>
            </w:r>
          </w:p>
          <w:p w14:paraId="0F653B97" w14:textId="77777777" w:rsidR="00DD0FC7" w:rsidRDefault="003714FF" w:rsidP="00D72126">
            <w:pPr>
              <w:pStyle w:val="AuflistungmitCheckbox"/>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t xml:space="preserve">Description qualitative compréhensible des mesures et du but des mesures. </w:t>
            </w:r>
          </w:p>
          <w:p w14:paraId="39ABBEC3" w14:textId="77777777" w:rsidR="00DD0FC7" w:rsidRDefault="003714FF" w:rsidP="00D72126">
            <w:pPr>
              <w:pStyle w:val="AuflistungmitCheckbox"/>
              <w:rPr>
                <w:b/>
              </w:rPr>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r>
            <w:r w:rsidR="00DD0FC7" w:rsidRPr="00B70AE8">
              <w:rPr>
                <w:b/>
              </w:rPr>
              <w:t>Facultatif:</w:t>
            </w:r>
            <w:r w:rsidR="00DD0FC7" w:rsidRPr="00B70AE8">
              <w:t xml:space="preserve"> explication du calcul/de l’estimation du potentiel d’économie des différentes énergies conformément au formulaire. Les kilowattheures indiqués devraient si possible être compréhensibles.</w:t>
            </w:r>
          </w:p>
          <w:p w14:paraId="0CC20D71" w14:textId="77777777" w:rsidR="00DD0FC7" w:rsidRDefault="003714FF" w:rsidP="00D72126">
            <w:pPr>
              <w:pStyle w:val="AuflistungmitCheckbox"/>
            </w:pPr>
            <w:r w:rsidRPr="00B70AE8">
              <w:fldChar w:fldCharType="begin">
                <w:ffData>
                  <w:name w:val="Kontrollkästchen1"/>
                  <w:enabled/>
                  <w:calcOnExit w:val="0"/>
                  <w:checkBox>
                    <w:sizeAuto/>
                    <w:default w:val="0"/>
                  </w:checkBox>
                </w:ffData>
              </w:fldChar>
            </w:r>
            <w:r w:rsidR="00DD0FC7" w:rsidRPr="00B70AE8">
              <w:instrText xml:space="preserve"> FORMCHECKBOX </w:instrText>
            </w:r>
            <w:r w:rsidR="00584FFB">
              <w:fldChar w:fldCharType="separate"/>
            </w:r>
            <w:r w:rsidRPr="00B70AE8">
              <w:fldChar w:fldCharType="end"/>
            </w:r>
            <w:r w:rsidR="00DD0FC7" w:rsidRPr="00B70AE8">
              <w:tab/>
            </w:r>
            <w:r w:rsidR="00DD0FC7" w:rsidRPr="00B70AE8">
              <w:rPr>
                <w:b/>
              </w:rPr>
              <w:t>Facultatif:</w:t>
            </w:r>
            <w:r w:rsidR="00DD0FC7" w:rsidRPr="00B70AE8">
              <w:t xml:space="preserve"> saisie des principales caractéristiques de la conception telles que les températures d’entrée et de sortie, les flux de masse.</w:t>
            </w:r>
          </w:p>
        </w:tc>
      </w:tr>
      <w:tr w:rsidR="00DD0FC7" w:rsidRPr="00F82B1E" w14:paraId="7D3A4566" w14:textId="77777777" w:rsidTr="00DD0FC7">
        <w:trPr>
          <w:cantSplit/>
        </w:trPr>
        <w:tc>
          <w:tcPr>
            <w:tcW w:w="2181" w:type="dxa"/>
            <w:shd w:val="clear" w:color="auto" w:fill="F2F2F2"/>
          </w:tcPr>
          <w:p w14:paraId="590257E4" w14:textId="77777777" w:rsidR="00DD0FC7" w:rsidRDefault="00DD0FC7" w:rsidP="0068766D">
            <w:pPr>
              <w:pStyle w:val="Tabellentitel"/>
              <w:ind w:left="0" w:right="0"/>
            </w:pPr>
            <w:r w:rsidRPr="00B70AE8">
              <w:t>Aide</w:t>
            </w:r>
          </w:p>
        </w:tc>
        <w:tc>
          <w:tcPr>
            <w:tcW w:w="7515" w:type="dxa"/>
            <w:shd w:val="clear" w:color="auto" w:fill="F2F2F2"/>
          </w:tcPr>
          <w:p w14:paraId="49F2A895" w14:textId="12A07837" w:rsidR="00DD0FC7" w:rsidRDefault="00DD0FC7" w:rsidP="00EB3D14">
            <w:pPr>
              <w:pStyle w:val="AuflistungHilfestellung"/>
            </w:pPr>
            <w:r w:rsidRPr="00B70AE8">
              <w:t>La «Part Coûts Energie» d’une mesure est la part de l’investissement total qui a été effectué exclusivement en vue de réduire les émissions de gaz à effet de serre et d’économiser de l’énergie. En cas de remplacement d’une chaudière défectueuse p. ex., il faut indiquer comme «Part Coûts Energie» uniquement les coûts de l’investissement supplémentaire (p. ex. récupération de la chaleur des fumées supplémentaire). Une mesure visant uniquement à conserver la valeur a une «Part Coûts Energie» de 0%. La «Part Coûts Energie» doit être indiquée en multiple de 25%.</w:t>
            </w:r>
            <w:r w:rsidR="00BE37EA">
              <w:t xml:space="preserve"> </w:t>
            </w:r>
            <w:r w:rsidR="00EB3D14" w:rsidRPr="00EB3D14">
              <w:t>I</w:t>
            </w:r>
            <w:r w:rsidR="00BE37EA" w:rsidRPr="00CF5A8D">
              <w:t>l est</w:t>
            </w:r>
            <w:r w:rsidR="00EB3D14" w:rsidRPr="00EB3D14">
              <w:t xml:space="preserve"> en règle général</w:t>
            </w:r>
            <w:r w:rsidR="00062E76">
              <w:t>e</w:t>
            </w:r>
            <w:r w:rsidR="00BE37EA" w:rsidRPr="00CF5A8D">
              <w:t xml:space="preserve"> utile d'indi</w:t>
            </w:r>
            <w:r w:rsidR="00EB3D14" w:rsidRPr="00EB3D14">
              <w:t>quer les parts inférieures à 25%</w:t>
            </w:r>
            <w:r w:rsidR="00EB3D14">
              <w:t xml:space="preserve"> </w:t>
            </w:r>
            <w:r w:rsidR="00BE37EA" w:rsidRPr="00CF5A8D">
              <w:t>en tranches plus fines.</w:t>
            </w:r>
          </w:p>
        </w:tc>
      </w:tr>
    </w:tbl>
    <w:p w14:paraId="3F856220" w14:textId="77777777" w:rsidR="00293C0D" w:rsidRPr="00B4595A" w:rsidRDefault="00C4047B" w:rsidP="000073BF">
      <w:pPr>
        <w:pStyle w:val="berschrift2"/>
      </w:pPr>
      <w:r w:rsidRPr="00B4595A">
        <w:br w:type="page"/>
      </w:r>
      <w:bookmarkStart w:id="92" w:name="_Ref331513128"/>
      <w:bookmarkStart w:id="93" w:name="_Toc347303576"/>
      <w:bookmarkStart w:id="94" w:name="_Toc347853261"/>
      <w:bookmarkStart w:id="95" w:name="_Toc354127710"/>
      <w:bookmarkStart w:id="96" w:name="_Toc421696276"/>
      <w:r w:rsidR="002E0686" w:rsidRPr="00B70AE8">
        <w:lastRenderedPageBreak/>
        <w:t>Projets antérieurs / modifications de la production et des procédés</w:t>
      </w:r>
      <w:bookmarkEnd w:id="92"/>
      <w:r w:rsidR="002E0686" w:rsidRPr="00B70AE8">
        <w:t xml:space="preserve"> /</w:t>
      </w:r>
      <w:r w:rsidR="0068766D">
        <w:t xml:space="preserve"> </w:t>
      </w:r>
      <w:r w:rsidR="002E0686" w:rsidRPr="00B70AE8">
        <w:t>études énergétiques</w:t>
      </w:r>
      <w:bookmarkEnd w:id="93"/>
      <w:bookmarkEnd w:id="94"/>
      <w:bookmarkEnd w:id="95"/>
      <w:bookmarkEnd w:id="96"/>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2E0686" w:rsidRPr="00F82B1E" w14:paraId="74C1A210" w14:textId="77777777" w:rsidTr="002E0686">
        <w:trPr>
          <w:cantSplit/>
        </w:trPr>
        <w:tc>
          <w:tcPr>
            <w:tcW w:w="2181" w:type="dxa"/>
            <w:tcBorders>
              <w:bottom w:val="single" w:sz="4" w:space="0" w:color="auto"/>
            </w:tcBorders>
            <w:shd w:val="clear" w:color="auto" w:fill="F2F2F2"/>
          </w:tcPr>
          <w:p w14:paraId="7B123A11" w14:textId="77777777" w:rsidR="002E0686" w:rsidRDefault="002E0686" w:rsidP="0068766D">
            <w:pPr>
              <w:pStyle w:val="Tabellentitel"/>
              <w:ind w:left="0"/>
            </w:pPr>
            <w:r w:rsidRPr="00B70AE8">
              <w:t>Introduction</w:t>
            </w:r>
          </w:p>
        </w:tc>
        <w:tc>
          <w:tcPr>
            <w:tcW w:w="7515" w:type="dxa"/>
            <w:tcBorders>
              <w:bottom w:val="single" w:sz="4" w:space="0" w:color="auto"/>
            </w:tcBorders>
            <w:shd w:val="clear" w:color="auto" w:fill="F2F2F2"/>
          </w:tcPr>
          <w:p w14:paraId="054A9338" w14:textId="77777777" w:rsidR="002E0686" w:rsidRPr="002E0686" w:rsidRDefault="002E0686" w:rsidP="0068766D">
            <w:pPr>
              <w:ind w:left="0" w:right="0"/>
              <w:rPr>
                <w:lang w:val="fr-CH"/>
              </w:rPr>
            </w:pPr>
            <w:r w:rsidRPr="002E0686">
              <w:rPr>
                <w:lang w:val="fr-CH"/>
              </w:rPr>
              <w:t>On présente dans le tableau suivant les projets, les modifications de la production et des procédés qui ont eu une influence déterminante sur la consommation d’énergie du site de production et les études énergétiques déjà effectuées dans l’entreprise qui décrivent bien la consommation d’énergie.</w:t>
            </w:r>
          </w:p>
          <w:p w14:paraId="18FE7455" w14:textId="77777777" w:rsidR="002E0686" w:rsidRPr="002E0686" w:rsidRDefault="002E0686" w:rsidP="0068766D">
            <w:pPr>
              <w:ind w:left="0" w:right="0"/>
              <w:rPr>
                <w:lang w:val="fr-CH"/>
              </w:rPr>
            </w:pPr>
            <w:r w:rsidRPr="002E0686">
              <w:rPr>
                <w:lang w:val="fr-CH"/>
              </w:rPr>
              <w:t>Les données doivent servir à obtenir une vue d’ensemble des modifications antérieures déterminantes pour la consommation d’énergie et à acquérir des connaissances sur les économies possibles. Les modifications des procédés réalisées dans le passé indiquent souvent des potentiels d’économie. En effet, il est rare que toutes les infrastructures énergétiques aient pu être adaptées à la nouvelle situation. Les documents mentionnés dans le tableau ci-après servent de base aux données.</w:t>
            </w:r>
          </w:p>
        </w:tc>
      </w:tr>
      <w:tr w:rsidR="00C4047B" w:rsidRPr="00F82B1E" w14:paraId="406D6E5B" w14:textId="77777777" w:rsidTr="002E0686">
        <w:trPr>
          <w:cantSplit/>
        </w:trPr>
        <w:tc>
          <w:tcPr>
            <w:tcW w:w="9696" w:type="dxa"/>
            <w:gridSpan w:val="2"/>
            <w:tcBorders>
              <w:bottom w:val="single" w:sz="4" w:space="0" w:color="auto"/>
            </w:tcBorders>
          </w:tcPr>
          <w:p w14:paraId="43734110" w14:textId="77777777" w:rsidR="00DE75A1" w:rsidRPr="00936B78" w:rsidRDefault="00C47AA9" w:rsidP="00F16C61">
            <w:pPr>
              <w:pStyle w:val="BildTabellenbeschriftung"/>
            </w:pPr>
            <w:r>
              <w:rPr>
                <w:lang w:val="de-CH"/>
              </w:rPr>
              <w:drawing>
                <wp:inline distT="0" distB="0" distL="0" distR="0" wp14:anchorId="536D0490" wp14:editId="1854F3FD">
                  <wp:extent cx="6085205" cy="1040765"/>
                  <wp:effectExtent l="1905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6085205" cy="1040765"/>
                          </a:xfrm>
                          <a:prstGeom prst="rect">
                            <a:avLst/>
                          </a:prstGeom>
                          <a:noFill/>
                          <a:ln w="9525">
                            <a:noFill/>
                            <a:miter lim="800000"/>
                            <a:headEnd/>
                            <a:tailEnd/>
                          </a:ln>
                        </pic:spPr>
                      </pic:pic>
                    </a:graphicData>
                  </a:graphic>
                </wp:inline>
              </w:drawing>
            </w:r>
          </w:p>
          <w:p w14:paraId="3793E964" w14:textId="77777777" w:rsidR="00C4047B" w:rsidRPr="002E0686" w:rsidRDefault="00757FB5" w:rsidP="00757FB5">
            <w:pPr>
              <w:pStyle w:val="BildTabellenbeschriftung"/>
            </w:pPr>
            <w:bookmarkStart w:id="97" w:name="_Toc421696309"/>
            <w:r w:rsidRPr="00B70AE8">
              <w:t xml:space="preserve">Tableau </w:t>
            </w:r>
            <w:r w:rsidR="00AE6C37">
              <w:fldChar w:fldCharType="begin"/>
            </w:r>
            <w:r w:rsidR="00AE6C37">
              <w:instrText xml:space="preserve"> SEQ Tabelle \* ARABIC </w:instrText>
            </w:r>
            <w:r w:rsidR="00AE6C37">
              <w:fldChar w:fldCharType="separate"/>
            </w:r>
            <w:r w:rsidR="00FD6355">
              <w:t>13</w:t>
            </w:r>
            <w:r w:rsidR="00AE6C37">
              <w:fldChar w:fldCharType="end"/>
            </w:r>
            <w:r w:rsidRPr="0068766D">
              <w:t xml:space="preserve"> </w:t>
            </w:r>
            <w:r w:rsidR="002E0686" w:rsidRPr="0068766D">
              <w:t>(projets antérieurs / modifications</w:t>
            </w:r>
            <w:r w:rsidR="002E0686" w:rsidRPr="002E0686">
              <w:t xml:space="preserve"> de la production et des procédés / études énergétiques)</w:t>
            </w:r>
            <w:bookmarkEnd w:id="97"/>
          </w:p>
        </w:tc>
      </w:tr>
      <w:tr w:rsidR="002E0686" w:rsidRPr="00F82B1E" w14:paraId="7511A508" w14:textId="77777777" w:rsidTr="002E0686">
        <w:trPr>
          <w:cantSplit/>
        </w:trPr>
        <w:tc>
          <w:tcPr>
            <w:tcW w:w="2181" w:type="dxa"/>
          </w:tcPr>
          <w:p w14:paraId="412F6868" w14:textId="77777777" w:rsidR="002E0686" w:rsidRDefault="002E0686" w:rsidP="0068766D">
            <w:pPr>
              <w:pStyle w:val="Tabellentitel"/>
              <w:ind w:left="0" w:right="0"/>
            </w:pPr>
            <w:r w:rsidRPr="00B70AE8">
              <w:t xml:space="preserve">Description des </w:t>
            </w:r>
            <w:r w:rsidRPr="00B70AE8">
              <w:br/>
              <w:t xml:space="preserve">différents points: </w:t>
            </w:r>
          </w:p>
        </w:tc>
        <w:tc>
          <w:tcPr>
            <w:tcW w:w="7515" w:type="dxa"/>
            <w:shd w:val="clear" w:color="auto" w:fill="B9DAFF"/>
          </w:tcPr>
          <w:p w14:paraId="52C54555" w14:textId="77777777" w:rsidR="002E0686" w:rsidRPr="0068766D" w:rsidRDefault="002E0686" w:rsidP="000D4B44">
            <w:pPr>
              <w:pStyle w:val="NummerierteAufzhlung"/>
              <w:numPr>
                <w:ilvl w:val="0"/>
                <w:numId w:val="17"/>
              </w:numPr>
              <w:rPr>
                <w:lang w:val="fr-CH"/>
              </w:rPr>
            </w:pPr>
            <w:r w:rsidRPr="0068766D">
              <w:rPr>
                <w:lang w:val="fr-CH"/>
              </w:rPr>
              <w:t>L’étude sur la réduction des coûts de l’énergie portait en priorité sur la consommation d’énergie thermique et sur les potentiels de récupération de la chaleur au sein des procédés.</w:t>
            </w:r>
          </w:p>
          <w:p w14:paraId="7501A8C4" w14:textId="77777777" w:rsidR="002E0686" w:rsidRDefault="002E0686" w:rsidP="000D4B44">
            <w:pPr>
              <w:pStyle w:val="NummerierteAufzhlung"/>
              <w:numPr>
                <w:ilvl w:val="0"/>
                <w:numId w:val="4"/>
              </w:numPr>
              <w:rPr>
                <w:lang w:val="fr-CH"/>
              </w:rPr>
            </w:pPr>
            <w:r w:rsidRPr="00B70AE8">
              <w:rPr>
                <w:lang w:val="fr-CH"/>
              </w:rPr>
              <w:t>Comme la production de fromage nécessite plus d’énergie que celle de lait frais, la hausse de la production de fromage et le recul simultané de la production de lait frais ont entraîné une augmentation de la consommation d’énergie. Cette hausse de la consommation d’énergie n’a cependant pas eu d’effets directs sur les infrastructures de l’approvisionnement en énergie qui continuent à être suffisamment dimensionnées. Des détails sur les quantités de production figurent aussi au chapitre 4.3 Indicateurs de la consommation d’énergie.</w:t>
            </w:r>
          </w:p>
          <w:p w14:paraId="5BB44DB4" w14:textId="77777777" w:rsidR="002E0686" w:rsidRDefault="002E0686" w:rsidP="000D4B44">
            <w:pPr>
              <w:pStyle w:val="NummerierteAufzhlung"/>
              <w:numPr>
                <w:ilvl w:val="0"/>
                <w:numId w:val="4"/>
              </w:numPr>
              <w:rPr>
                <w:lang w:val="fr-CH"/>
              </w:rPr>
            </w:pPr>
            <w:r w:rsidRPr="00B70AE8">
              <w:rPr>
                <w:lang w:val="fr-CH"/>
              </w:rPr>
              <w:t>La construction de rampes réfrigérées dans le bloc 50 a augmenté la consommation d’électricité (env. 30 kW</w:t>
            </w:r>
            <w:r w:rsidRPr="00B70AE8">
              <w:rPr>
                <w:vertAlign w:val="subscript"/>
                <w:lang w:val="fr-CH"/>
              </w:rPr>
              <w:t>él</w:t>
            </w:r>
            <w:r w:rsidRPr="00B70AE8">
              <w:rPr>
                <w:lang w:val="fr-CH"/>
              </w:rPr>
              <w:t xml:space="preserve"> à 2’000 heures de fonctionnement à pleine charge par an).</w:t>
            </w:r>
          </w:p>
          <w:p w14:paraId="2F15DED0" w14:textId="77777777" w:rsidR="002E0686" w:rsidRDefault="002E0686" w:rsidP="000D4B44">
            <w:pPr>
              <w:pStyle w:val="NummerierteAufzhlung"/>
              <w:numPr>
                <w:ilvl w:val="0"/>
                <w:numId w:val="4"/>
              </w:numPr>
              <w:rPr>
                <w:lang w:val="fr-CH"/>
              </w:rPr>
            </w:pPr>
            <w:r w:rsidRPr="00B70AE8">
              <w:rPr>
                <w:lang w:val="fr-CH"/>
              </w:rPr>
              <w:t>La construction d’une nouvelle chambre froide pour le fromage dans le bloc 52 a augmenté la consommation d’électricité (env. 15 kWél à 4’000 heures de fonctionnement à pleine charge par an).</w:t>
            </w:r>
          </w:p>
        </w:tc>
      </w:tr>
      <w:tr w:rsidR="002E0686" w:rsidRPr="00F82B1E" w14:paraId="6E1E3BBE" w14:textId="77777777" w:rsidTr="002E0686">
        <w:trPr>
          <w:cantSplit/>
        </w:trPr>
        <w:tc>
          <w:tcPr>
            <w:tcW w:w="2181" w:type="dxa"/>
            <w:shd w:val="clear" w:color="auto" w:fill="F2DBDB"/>
          </w:tcPr>
          <w:p w14:paraId="40F50B15" w14:textId="77777777" w:rsidR="002E0686" w:rsidRDefault="002E0686" w:rsidP="0068766D">
            <w:pPr>
              <w:pStyle w:val="Tabellentitel"/>
              <w:ind w:left="0" w:right="0"/>
            </w:pPr>
            <w:r w:rsidRPr="00B70AE8">
              <w:lastRenderedPageBreak/>
              <w:t>Exigences</w:t>
            </w:r>
          </w:p>
        </w:tc>
        <w:tc>
          <w:tcPr>
            <w:tcW w:w="7515" w:type="dxa"/>
            <w:shd w:val="clear" w:color="auto" w:fill="F2DBDB"/>
          </w:tcPr>
          <w:p w14:paraId="13B7031E" w14:textId="3467560D"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t>Les entreprises déjà au bénéfice d’une exemption de la taxe sur le CO</w:t>
            </w:r>
            <w:r w:rsidR="002E0686" w:rsidRPr="00B70AE8">
              <w:rPr>
                <w:vertAlign w:val="subscript"/>
              </w:rPr>
              <w:t>2</w:t>
            </w:r>
            <w:r w:rsidR="002E0686" w:rsidRPr="00B70AE8">
              <w:t xml:space="preserve"> durant la première période d’engagement ne doivent pas dupliquer les données.</w:t>
            </w:r>
          </w:p>
          <w:p w14:paraId="6EFF4B3F" w14:textId="77777777" w:rsidR="002E0686" w:rsidRDefault="003714FF" w:rsidP="00D72126">
            <w:pPr>
              <w:pStyle w:val="AuflistungmitCheckbox"/>
              <w:rPr>
                <w:b/>
              </w:rPr>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r>
            <w:r w:rsidR="002E0686" w:rsidRPr="00B70AE8">
              <w:rPr>
                <w:b/>
              </w:rPr>
              <w:t>Etudes (facultatif):</w:t>
            </w:r>
            <w:r w:rsidR="002E0686" w:rsidRPr="00B70AE8">
              <w:t xml:space="preserve"> brève description de la portée des études, c.-à-d. des procédés ou des installations d’infrastructures qui ont été examinés. </w:t>
            </w:r>
            <w:r w:rsidR="002E0686" w:rsidRPr="00B70AE8">
              <w:rPr>
                <w:b/>
              </w:rPr>
              <w:t xml:space="preserve">Remarque: </w:t>
            </w:r>
            <w:r w:rsidR="002E0686" w:rsidRPr="00B70AE8">
              <w:t>il est tenu compte des études élaborées par des professionnels lors de l’examen de la demande. Par conséquent, il est recommandé de les joindre à la présente analyse des potentiels.</w:t>
            </w:r>
          </w:p>
          <w:p w14:paraId="52F69650"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r>
            <w:r w:rsidR="002E0686" w:rsidRPr="00B70AE8">
              <w:rPr>
                <w:b/>
              </w:rPr>
              <w:t>Projets (facultatif):</w:t>
            </w:r>
            <w:r w:rsidR="002E0686" w:rsidRPr="00B70AE8">
              <w:t xml:space="preserve"> description du but du projet et des effets sur la consommation d’énergie (si possible quantitatifs, autrement qualitatifs).</w:t>
            </w:r>
          </w:p>
          <w:p w14:paraId="58F16097" w14:textId="77777777" w:rsidR="002E0686" w:rsidRDefault="003714FF" w:rsidP="00D72126">
            <w:pPr>
              <w:pStyle w:val="AuflistungmitCheckbox"/>
              <w:rPr>
                <w:b/>
              </w:rPr>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r>
            <w:r w:rsidR="002E0686" w:rsidRPr="00B70AE8">
              <w:rPr>
                <w:b/>
              </w:rPr>
              <w:t>Modifications des procédés (facultatif):</w:t>
            </w:r>
            <w:r w:rsidR="002E0686" w:rsidRPr="00B70AE8">
              <w:t xml:space="preserve"> description des changements effectués dans les procédés ou dans la production qui ont eu un grand impact sur la consommation d’énergie. </w:t>
            </w:r>
          </w:p>
          <w:p w14:paraId="3F135F6A"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r>
            <w:r w:rsidR="002E0686" w:rsidRPr="00B70AE8">
              <w:rPr>
                <w:b/>
              </w:rPr>
              <w:t>Quantités de production (facultatif):</w:t>
            </w:r>
            <w:r w:rsidR="002E0686" w:rsidRPr="00B70AE8">
              <w:t xml:space="preserve"> saisie des évolutions de la production qui ont entraîné les dernières années un changement notable de la consommation d’énergie. Les quantités de production déterminantes pour la consommation d’énergie des deux dernières années devraient aussi être relevées au chapitre 4.3 Indicateurs de la consommation d’énergie. Des constats sur les évolutions faits au chapitre 4.3 ne doivent pas figurer ici. </w:t>
            </w:r>
          </w:p>
          <w:p w14:paraId="65404830"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r>
            <w:r w:rsidR="002E0686" w:rsidRPr="00B70AE8">
              <w:rPr>
                <w:b/>
              </w:rPr>
              <w:t>Facultatif:</w:t>
            </w:r>
            <w:r w:rsidR="002E0686" w:rsidRPr="00B70AE8">
              <w:t xml:space="preserve"> annexes sur les différents points là où cela est judicieux (offres, études, conceptions, etc.)</w:t>
            </w:r>
          </w:p>
        </w:tc>
      </w:tr>
      <w:tr w:rsidR="002E0686" w:rsidRPr="00936B78" w14:paraId="210AFAC6" w14:textId="77777777" w:rsidTr="002E0686">
        <w:trPr>
          <w:cantSplit/>
          <w:trHeight w:val="281"/>
        </w:trPr>
        <w:tc>
          <w:tcPr>
            <w:tcW w:w="2181" w:type="dxa"/>
            <w:shd w:val="clear" w:color="auto" w:fill="F2F2F2"/>
          </w:tcPr>
          <w:p w14:paraId="18E6CDDB" w14:textId="77777777" w:rsidR="002E0686" w:rsidRDefault="002E0686" w:rsidP="0068766D">
            <w:pPr>
              <w:pStyle w:val="Tabellentitel"/>
              <w:ind w:left="0" w:right="0"/>
            </w:pPr>
            <w:r w:rsidRPr="00B70AE8">
              <w:t>Aide</w:t>
            </w:r>
          </w:p>
        </w:tc>
        <w:tc>
          <w:tcPr>
            <w:tcW w:w="7515" w:type="dxa"/>
            <w:shd w:val="clear" w:color="auto" w:fill="F2F2F2"/>
          </w:tcPr>
          <w:p w14:paraId="6973F856" w14:textId="77777777" w:rsidR="002E0686" w:rsidRDefault="002E0686" w:rsidP="00D72126">
            <w:pPr>
              <w:pStyle w:val="AuflistungHilfestellung"/>
            </w:pPr>
            <w:r w:rsidRPr="00B70AE8">
              <w:t>Aucune.</w:t>
            </w:r>
          </w:p>
        </w:tc>
      </w:tr>
    </w:tbl>
    <w:p w14:paraId="3D433740" w14:textId="77777777" w:rsidR="00293C0D" w:rsidRPr="00B4595A" w:rsidRDefault="001C45A2" w:rsidP="0068766D">
      <w:pPr>
        <w:pStyle w:val="berschrift1"/>
      </w:pPr>
      <w:r w:rsidRPr="00B4595A">
        <w:br w:type="page"/>
      </w:r>
      <w:bookmarkStart w:id="98" w:name="_Toc347303577"/>
      <w:bookmarkStart w:id="99" w:name="_Toc347853262"/>
      <w:bookmarkStart w:id="100" w:name="_Toc354127711"/>
      <w:bookmarkStart w:id="101" w:name="_Toc421696277"/>
      <w:r w:rsidR="002E0686" w:rsidRPr="00B70AE8">
        <w:lastRenderedPageBreak/>
        <w:t>Saisie de l’état actuel</w:t>
      </w:r>
      <w:bookmarkEnd w:id="98"/>
      <w:bookmarkEnd w:id="99"/>
      <w:bookmarkEnd w:id="100"/>
      <w:bookmarkEnd w:id="101"/>
    </w:p>
    <w:p w14:paraId="56AB6A5D" w14:textId="77777777" w:rsidR="002E0686" w:rsidRDefault="002E0686" w:rsidP="000073BF">
      <w:pPr>
        <w:pStyle w:val="berschrift2"/>
      </w:pPr>
      <w:bookmarkStart w:id="102" w:name="_Toc347303578"/>
      <w:bookmarkStart w:id="103" w:name="_Toc347853263"/>
      <w:bookmarkStart w:id="104" w:name="_Toc354127712"/>
      <w:bookmarkStart w:id="105" w:name="_Toc421696278"/>
      <w:r w:rsidRPr="00B70AE8">
        <w:t>Schéma des flux des procédés, description des procédés</w:t>
      </w:r>
      <w:bookmarkEnd w:id="102"/>
      <w:bookmarkEnd w:id="103"/>
      <w:bookmarkEnd w:id="104"/>
      <w:bookmarkEnd w:id="105"/>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2E0686" w:rsidRPr="00936B78" w14:paraId="53121B63" w14:textId="77777777" w:rsidTr="002E0686">
        <w:trPr>
          <w:cantSplit/>
        </w:trPr>
        <w:tc>
          <w:tcPr>
            <w:tcW w:w="2181" w:type="dxa"/>
            <w:tcBorders>
              <w:bottom w:val="single" w:sz="4" w:space="0" w:color="auto"/>
            </w:tcBorders>
            <w:shd w:val="clear" w:color="auto" w:fill="F2F2F2"/>
          </w:tcPr>
          <w:p w14:paraId="091C6301" w14:textId="77777777" w:rsidR="002E0686" w:rsidRDefault="002E0686" w:rsidP="0068766D">
            <w:pPr>
              <w:pStyle w:val="Tabellentitel"/>
              <w:ind w:left="0" w:right="0"/>
            </w:pPr>
            <w:r w:rsidRPr="00B70AE8">
              <w:t>Introduction</w:t>
            </w:r>
          </w:p>
        </w:tc>
        <w:tc>
          <w:tcPr>
            <w:tcW w:w="7515" w:type="dxa"/>
            <w:tcBorders>
              <w:bottom w:val="single" w:sz="4" w:space="0" w:color="auto"/>
            </w:tcBorders>
            <w:shd w:val="clear" w:color="auto" w:fill="F2F2F2"/>
          </w:tcPr>
          <w:p w14:paraId="210EE273" w14:textId="77777777" w:rsidR="002E0686" w:rsidRDefault="002E0686" w:rsidP="0068766D">
            <w:pPr>
              <w:ind w:left="0" w:right="0"/>
            </w:pPr>
            <w:r w:rsidRPr="002E0686">
              <w:rPr>
                <w:lang w:val="fr-CH"/>
              </w:rPr>
              <w:t xml:space="preserve">Le schéma des flux des procédés donne un aperçu de tous les procédés de production au sein de l’entreprise. </w:t>
            </w:r>
            <w:r w:rsidRPr="00B70AE8">
              <w:t>Il présente les principales unités de production.</w:t>
            </w:r>
          </w:p>
        </w:tc>
      </w:tr>
      <w:tr w:rsidR="00490A9F" w:rsidRPr="00F82B1E" w14:paraId="57790303" w14:textId="77777777" w:rsidTr="002E0686">
        <w:trPr>
          <w:cantSplit/>
        </w:trPr>
        <w:tc>
          <w:tcPr>
            <w:tcW w:w="9696" w:type="dxa"/>
            <w:gridSpan w:val="2"/>
            <w:tcBorders>
              <w:bottom w:val="single" w:sz="4" w:space="0" w:color="auto"/>
            </w:tcBorders>
          </w:tcPr>
          <w:p w14:paraId="78B174FC" w14:textId="77777777" w:rsidR="00490A9F" w:rsidRPr="00936B78" w:rsidRDefault="00C47AA9" w:rsidP="0068766D">
            <w:pPr>
              <w:pStyle w:val="Bild"/>
              <w:ind w:left="0" w:right="0"/>
            </w:pPr>
            <w:r>
              <w:drawing>
                <wp:inline distT="0" distB="0" distL="0" distR="0" wp14:anchorId="0E20E510" wp14:editId="1F005A7A">
                  <wp:extent cx="6054090" cy="3736340"/>
                  <wp:effectExtent l="19050" t="19050" r="22860" b="1651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6054090" cy="3736340"/>
                          </a:xfrm>
                          <a:prstGeom prst="rect">
                            <a:avLst/>
                          </a:prstGeom>
                          <a:solidFill>
                            <a:srgbClr val="FFFFFF"/>
                          </a:solidFill>
                          <a:ln w="9525" cmpd="sng">
                            <a:solidFill>
                              <a:srgbClr val="000000"/>
                            </a:solidFill>
                            <a:miter lim="800000"/>
                            <a:headEnd/>
                            <a:tailEnd/>
                          </a:ln>
                          <a:effectLst/>
                        </pic:spPr>
                      </pic:pic>
                    </a:graphicData>
                  </a:graphic>
                </wp:inline>
              </w:drawing>
            </w:r>
          </w:p>
          <w:p w14:paraId="4AE1E773" w14:textId="77777777" w:rsidR="00490A9F" w:rsidRPr="00936B78" w:rsidRDefault="00753B0A" w:rsidP="00F16C61">
            <w:pPr>
              <w:pStyle w:val="BildTabellenbeschriftung"/>
            </w:pPr>
            <w:bookmarkStart w:id="106" w:name="_Toc421696292"/>
            <w:r w:rsidRPr="00753B0A">
              <w:t>Illustration</w:t>
            </w:r>
            <w:r w:rsidRPr="00B70AE8">
              <w:t xml:space="preserve"> </w:t>
            </w:r>
            <w:r w:rsidR="003714FF">
              <w:rPr>
                <w:noProof w:val="0"/>
              </w:rPr>
              <w:fldChar w:fldCharType="begin"/>
            </w:r>
            <w:r>
              <w:rPr>
                <w:noProof w:val="0"/>
              </w:rPr>
              <w:instrText xml:space="preserve"> SEQ Abbildung \* ARABIC </w:instrText>
            </w:r>
            <w:r w:rsidR="003714FF">
              <w:rPr>
                <w:noProof w:val="0"/>
              </w:rPr>
              <w:fldChar w:fldCharType="separate"/>
            </w:r>
            <w:r w:rsidR="00FD6355">
              <w:t>2</w:t>
            </w:r>
            <w:r w:rsidR="003714FF">
              <w:rPr>
                <w:noProof w:val="0"/>
              </w:rPr>
              <w:fldChar w:fldCharType="end"/>
            </w:r>
            <w:r w:rsidRPr="002E0686">
              <w:t xml:space="preserve"> </w:t>
            </w:r>
            <w:r w:rsidR="002E0686" w:rsidRPr="002E0686">
              <w:t>(schéma des flux des procédés relatifs à la production 2011)</w:t>
            </w:r>
            <w:bookmarkEnd w:id="106"/>
          </w:p>
        </w:tc>
      </w:tr>
      <w:tr w:rsidR="002E0686" w:rsidRPr="00936B78" w14:paraId="67C9B52C" w14:textId="77777777" w:rsidTr="002E0686">
        <w:trPr>
          <w:cantSplit/>
        </w:trPr>
        <w:tc>
          <w:tcPr>
            <w:tcW w:w="2181" w:type="dxa"/>
          </w:tcPr>
          <w:p w14:paraId="58757AEE" w14:textId="77777777" w:rsidR="002E0686" w:rsidRDefault="002D1694" w:rsidP="0068766D">
            <w:pPr>
              <w:pStyle w:val="Tabellentitel"/>
              <w:ind w:left="0" w:right="0"/>
            </w:pPr>
            <w:r>
              <w:t>Description</w:t>
            </w:r>
            <w:r>
              <w:br/>
            </w:r>
            <w:r w:rsidR="002E0686" w:rsidRPr="00B70AE8">
              <w:t>générale</w:t>
            </w:r>
          </w:p>
        </w:tc>
        <w:tc>
          <w:tcPr>
            <w:tcW w:w="7515" w:type="dxa"/>
            <w:shd w:val="clear" w:color="auto" w:fill="B9DAFF"/>
          </w:tcPr>
          <w:p w14:paraId="2DF9EB6E" w14:textId="77777777" w:rsidR="002E0686" w:rsidRDefault="002E0686" w:rsidP="0068766D">
            <w:pPr>
              <w:ind w:left="0" w:right="0"/>
            </w:pPr>
            <w:r w:rsidRPr="002E0686">
              <w:rPr>
                <w:lang w:val="fr-CH"/>
              </w:rPr>
              <w:t xml:space="preserve">L’illustration ci-dessus présente les étapes des procédés thermiques de la transformation du lait. En outre, les nettoyages CIP sont aussi déterminants pour la consommation d’énergie thermique. </w:t>
            </w:r>
            <w:r w:rsidRPr="00B70AE8">
              <w:t>Ils sont décrits en détail au chapitre 5.3.1.</w:t>
            </w:r>
          </w:p>
        </w:tc>
      </w:tr>
      <w:tr w:rsidR="002E0686" w:rsidRPr="002E0686" w14:paraId="5D0399E8" w14:textId="77777777" w:rsidTr="002E0686">
        <w:trPr>
          <w:cantSplit/>
        </w:trPr>
        <w:tc>
          <w:tcPr>
            <w:tcW w:w="2181" w:type="dxa"/>
          </w:tcPr>
          <w:p w14:paraId="40384D80" w14:textId="77777777" w:rsidR="002E0686" w:rsidRDefault="002E0686" w:rsidP="0068766D">
            <w:pPr>
              <w:pStyle w:val="Tabellentitel"/>
              <w:ind w:left="0" w:right="0"/>
            </w:pPr>
            <w:r w:rsidRPr="00B70AE8">
              <w:t>Description des</w:t>
            </w:r>
            <w:r w:rsidRPr="00B70AE8">
              <w:br/>
              <w:t xml:space="preserve">différents points: </w:t>
            </w:r>
          </w:p>
        </w:tc>
        <w:tc>
          <w:tcPr>
            <w:tcW w:w="7515" w:type="dxa"/>
            <w:shd w:val="clear" w:color="auto" w:fill="B9DAFF"/>
          </w:tcPr>
          <w:p w14:paraId="4B01EC49" w14:textId="77777777" w:rsidR="002E0686" w:rsidRDefault="002E0686" w:rsidP="000D4B44">
            <w:pPr>
              <w:pStyle w:val="NummerierteAufzhlung"/>
              <w:numPr>
                <w:ilvl w:val="0"/>
                <w:numId w:val="18"/>
              </w:numPr>
              <w:spacing w:after="0"/>
              <w:ind w:left="340" w:hanging="340"/>
              <w:rPr>
                <w:lang w:val="fr-CH"/>
              </w:rPr>
            </w:pPr>
            <w:r w:rsidRPr="00B70AE8">
              <w:rPr>
                <w:lang w:val="fr-CH"/>
              </w:rPr>
              <w:t>Le petit-lait est concentré et vendu.</w:t>
            </w:r>
          </w:p>
          <w:p w14:paraId="23D27C9F" w14:textId="77777777" w:rsidR="00482293" w:rsidRDefault="00482293" w:rsidP="000D4B44">
            <w:pPr>
              <w:pStyle w:val="NummerierteAufzhlung"/>
              <w:numPr>
                <w:ilvl w:val="0"/>
                <w:numId w:val="18"/>
              </w:numPr>
              <w:spacing w:after="0"/>
              <w:ind w:left="340" w:hanging="340"/>
              <w:rPr>
                <w:lang w:val="fr-CH"/>
              </w:rPr>
            </w:pPr>
            <w:r>
              <w:rPr>
                <w:lang w:val="fr-CH"/>
              </w:rPr>
              <w:t>…</w:t>
            </w:r>
          </w:p>
        </w:tc>
      </w:tr>
      <w:tr w:rsidR="002E0686" w:rsidRPr="00F82B1E" w14:paraId="144E675C" w14:textId="77777777" w:rsidTr="002E0686">
        <w:trPr>
          <w:cantSplit/>
        </w:trPr>
        <w:tc>
          <w:tcPr>
            <w:tcW w:w="2181" w:type="dxa"/>
            <w:shd w:val="clear" w:color="auto" w:fill="F2DBDB"/>
          </w:tcPr>
          <w:p w14:paraId="6E343152" w14:textId="77777777" w:rsidR="002E0686" w:rsidRDefault="002E0686" w:rsidP="0068766D">
            <w:pPr>
              <w:pStyle w:val="Tabellentitel"/>
              <w:ind w:left="0" w:right="0"/>
            </w:pPr>
            <w:r w:rsidRPr="00B70AE8">
              <w:lastRenderedPageBreak/>
              <w:t>Exigences</w:t>
            </w:r>
          </w:p>
        </w:tc>
        <w:tc>
          <w:tcPr>
            <w:tcW w:w="7515" w:type="dxa"/>
            <w:shd w:val="clear" w:color="auto" w:fill="F2DBDB"/>
          </w:tcPr>
          <w:p w14:paraId="63550109"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t>Le déroulement de la production doit au moins être décrit de manière générale et complété par un schéma d’ensemble.</w:t>
            </w:r>
          </w:p>
          <w:p w14:paraId="4F15A5FD"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t>Le flux des produits de la matière de départ au produit final doit être compréhensible et chaque étape des différents procédés brièvement décrite pour qu’il soit possible de comprendre quels procédés et quels processus sont utilisés.</w:t>
            </w:r>
          </w:p>
          <w:p w14:paraId="0C8DAE16"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t>Si un schéma y relatif existe déjà, il peut être annexé et commenté de manière appropriée. Pour les entreprises ayant des flux des procédés simples, un croquis lisible dessiné à la main est aussi possible.</w:t>
            </w:r>
          </w:p>
          <w:p w14:paraId="325C26EF" w14:textId="77777777" w:rsidR="002E0686" w:rsidRDefault="003714FF" w:rsidP="00D72126">
            <w:pPr>
              <w:pStyle w:val="AuflistungmitCheckbox"/>
            </w:pPr>
            <w:r w:rsidRPr="00B70AE8">
              <w:fldChar w:fldCharType="begin">
                <w:ffData>
                  <w:name w:val="Kontrollkästchen1"/>
                  <w:enabled/>
                  <w:calcOnExit w:val="0"/>
                  <w:checkBox>
                    <w:sizeAuto/>
                    <w:default w:val="0"/>
                  </w:checkBox>
                </w:ffData>
              </w:fldChar>
            </w:r>
            <w:r w:rsidR="002E0686" w:rsidRPr="00B70AE8">
              <w:instrText xml:space="preserve"> FORMCHECKBOX </w:instrText>
            </w:r>
            <w:r w:rsidR="00584FFB">
              <w:fldChar w:fldCharType="separate"/>
            </w:r>
            <w:r w:rsidRPr="00B70AE8">
              <w:fldChar w:fldCharType="end"/>
            </w:r>
            <w:r w:rsidR="002E0686" w:rsidRPr="00B70AE8">
              <w:tab/>
            </w:r>
            <w:r w:rsidR="002E0686" w:rsidRPr="00B70AE8">
              <w:rPr>
                <w:b/>
              </w:rPr>
              <w:t>Facultatif:</w:t>
            </w:r>
            <w:r w:rsidR="002E0686" w:rsidRPr="00B70AE8">
              <w:t xml:space="preserve"> annexer des schémas de procédés supplémentaires, des diagrammes des flux des procédés, des extraits du système de conduite des procédés, des schémas de conception relatifs aux différents produits/procédés.</w:t>
            </w:r>
          </w:p>
        </w:tc>
      </w:tr>
      <w:tr w:rsidR="002E0686" w:rsidRPr="00F82B1E" w14:paraId="7C3C0814" w14:textId="77777777" w:rsidTr="002E0686">
        <w:trPr>
          <w:cantSplit/>
        </w:trPr>
        <w:tc>
          <w:tcPr>
            <w:tcW w:w="2181" w:type="dxa"/>
            <w:shd w:val="clear" w:color="auto" w:fill="F2F2F2"/>
          </w:tcPr>
          <w:p w14:paraId="1EDFE14E" w14:textId="77777777" w:rsidR="002E0686" w:rsidRPr="002E0686" w:rsidRDefault="002E0686" w:rsidP="0068766D">
            <w:pPr>
              <w:pStyle w:val="Tabellentitel"/>
              <w:ind w:left="0" w:right="0"/>
              <w:rPr>
                <w:lang w:val="fr-CH"/>
              </w:rPr>
            </w:pPr>
            <w:r w:rsidRPr="002E0686">
              <w:rPr>
                <w:lang w:val="fr-CH"/>
              </w:rPr>
              <w:tab/>
            </w:r>
            <w:r w:rsidRPr="002E0686">
              <w:rPr>
                <w:lang w:val="fr-CH"/>
              </w:rPr>
              <w:tab/>
            </w:r>
          </w:p>
        </w:tc>
        <w:tc>
          <w:tcPr>
            <w:tcW w:w="7515" w:type="dxa"/>
            <w:shd w:val="clear" w:color="auto" w:fill="F2F2F2"/>
          </w:tcPr>
          <w:p w14:paraId="0DD33F9C" w14:textId="77777777" w:rsidR="002E0686" w:rsidRDefault="002E0686" w:rsidP="00D72126">
            <w:pPr>
              <w:pStyle w:val="AuflistungHilfestellung"/>
            </w:pPr>
            <w:r w:rsidRPr="00B70AE8">
              <w:t xml:space="preserve">Si l’on ne dispose pas d’un programme servant à présenter les flux des procédés, on peut télécharger un outil ad hoc gratuit p. ex. sur </w:t>
            </w:r>
            <w:hyperlink r:id="rId36" w:history="1">
              <w:r>
                <w:rPr>
                  <w:rStyle w:val="Hyperlink"/>
                </w:rPr>
                <w:t>http://dia-installer.de/</w:t>
              </w:r>
            </w:hyperlink>
            <w:r w:rsidRPr="00B70AE8">
              <w:t>.</w:t>
            </w:r>
          </w:p>
        </w:tc>
      </w:tr>
    </w:tbl>
    <w:p w14:paraId="260EE140" w14:textId="77777777" w:rsidR="00293C0D" w:rsidRPr="00B4595A" w:rsidRDefault="00490A9F" w:rsidP="000073BF">
      <w:pPr>
        <w:pStyle w:val="berschrift2"/>
      </w:pPr>
      <w:r w:rsidRPr="00B4595A">
        <w:br w:type="page"/>
      </w:r>
      <w:bookmarkStart w:id="107" w:name="_Toc347303579"/>
      <w:bookmarkStart w:id="108" w:name="_Toc347853264"/>
      <w:bookmarkStart w:id="109" w:name="_Toc354127713"/>
      <w:bookmarkStart w:id="110" w:name="_Toc421696279"/>
      <w:r w:rsidR="002E0686" w:rsidRPr="00B70AE8">
        <w:lastRenderedPageBreak/>
        <w:t>Utilisation, transformation et distribution de l’énergie finale</w:t>
      </w:r>
      <w:bookmarkEnd w:id="107"/>
      <w:bookmarkEnd w:id="108"/>
      <w:bookmarkEnd w:id="109"/>
      <w:bookmarkEnd w:id="110"/>
    </w:p>
    <w:p w14:paraId="23E42300" w14:textId="77777777" w:rsidR="002E0686" w:rsidRDefault="002E0686" w:rsidP="00401BD0">
      <w:pPr>
        <w:pStyle w:val="berschrift3"/>
      </w:pPr>
      <w:bookmarkStart w:id="111" w:name="_Toc347303580"/>
      <w:bookmarkStart w:id="112" w:name="_Toc347853265"/>
      <w:bookmarkStart w:id="113" w:name="_Toc354127714"/>
      <w:bookmarkStart w:id="114" w:name="_Toc421696280"/>
      <w:r w:rsidRPr="00B70AE8">
        <w:t>Energies finales thermiques, déchets internes</w:t>
      </w:r>
      <w:bookmarkEnd w:id="111"/>
      <w:bookmarkEnd w:id="112"/>
      <w:bookmarkEnd w:id="113"/>
      <w:bookmarkEnd w:id="114"/>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034D81" w:rsidRPr="00F82B1E" w14:paraId="767ABC0A" w14:textId="77777777" w:rsidTr="002E0686">
        <w:trPr>
          <w:cantSplit/>
        </w:trPr>
        <w:tc>
          <w:tcPr>
            <w:tcW w:w="2181" w:type="dxa"/>
            <w:tcBorders>
              <w:bottom w:val="single" w:sz="4" w:space="0" w:color="auto"/>
            </w:tcBorders>
            <w:shd w:val="clear" w:color="auto" w:fill="F2F2F2"/>
          </w:tcPr>
          <w:p w14:paraId="021F8D2C" w14:textId="77777777" w:rsidR="00034D81" w:rsidRDefault="00034D81" w:rsidP="00482293">
            <w:pPr>
              <w:pStyle w:val="Tabellentitel"/>
              <w:ind w:left="0" w:right="0"/>
            </w:pPr>
            <w:r w:rsidRPr="00B70AE8">
              <w:t>Introduction</w:t>
            </w:r>
          </w:p>
        </w:tc>
        <w:tc>
          <w:tcPr>
            <w:tcW w:w="7515" w:type="dxa"/>
            <w:tcBorders>
              <w:bottom w:val="single" w:sz="4" w:space="0" w:color="auto"/>
            </w:tcBorders>
            <w:shd w:val="clear" w:color="auto" w:fill="F2F2F2"/>
          </w:tcPr>
          <w:p w14:paraId="0F77801E" w14:textId="79B62E13" w:rsidR="00034D81" w:rsidRPr="00034D81" w:rsidRDefault="00034D81" w:rsidP="00E72DDF">
            <w:pPr>
              <w:ind w:left="0" w:right="0"/>
              <w:rPr>
                <w:lang w:val="fr-CH"/>
              </w:rPr>
            </w:pPr>
            <w:r w:rsidRPr="00034D81">
              <w:rPr>
                <w:lang w:val="fr-CH"/>
              </w:rPr>
              <w:t xml:space="preserve">Le tableau suivant décrit la transformation et la distribution de toutes les énergies finales thermiques mentionnées au chapitre 4.1. </w:t>
            </w:r>
            <w:r w:rsidR="00E72DDF">
              <w:rPr>
                <w:lang w:val="fr-CH"/>
              </w:rPr>
              <w:t xml:space="preserve">Les agrégats les plus importants sont mentionnés. </w:t>
            </w:r>
            <w:r w:rsidRPr="00034D81">
              <w:rPr>
                <w:lang w:val="fr-CH"/>
              </w:rPr>
              <w:t xml:space="preserve">Les déchets internes qui sont utilisés à des fins thermiques sont également indiqués ici. </w:t>
            </w:r>
          </w:p>
        </w:tc>
      </w:tr>
      <w:tr w:rsidR="001C45A2" w:rsidRPr="00F82B1E" w14:paraId="6EF8DDCE" w14:textId="77777777" w:rsidTr="002E0686">
        <w:tblPrEx>
          <w:tblCellMar>
            <w:left w:w="70" w:type="dxa"/>
            <w:right w:w="70" w:type="dxa"/>
          </w:tblCellMar>
        </w:tblPrEx>
        <w:trPr>
          <w:cantSplit/>
        </w:trPr>
        <w:tc>
          <w:tcPr>
            <w:tcW w:w="9696" w:type="dxa"/>
            <w:gridSpan w:val="2"/>
            <w:tcBorders>
              <w:bottom w:val="single" w:sz="4" w:space="0" w:color="auto"/>
            </w:tcBorders>
          </w:tcPr>
          <w:p w14:paraId="5D8CC4DE" w14:textId="77777777" w:rsidR="004D766F" w:rsidRPr="00936B78" w:rsidRDefault="00C47AA9" w:rsidP="00482293">
            <w:pPr>
              <w:pStyle w:val="Bild"/>
              <w:ind w:left="0" w:right="0"/>
            </w:pPr>
            <w:r>
              <w:drawing>
                <wp:inline distT="0" distB="0" distL="0" distR="0" wp14:anchorId="6B9BAE9E" wp14:editId="4E86DB5C">
                  <wp:extent cx="6069965" cy="5801995"/>
                  <wp:effectExtent l="19050" t="0" r="6985"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srcRect/>
                          <a:stretch>
                            <a:fillRect/>
                          </a:stretch>
                        </pic:blipFill>
                        <pic:spPr bwMode="auto">
                          <a:xfrm>
                            <a:off x="0" y="0"/>
                            <a:ext cx="6069965" cy="5801995"/>
                          </a:xfrm>
                          <a:prstGeom prst="rect">
                            <a:avLst/>
                          </a:prstGeom>
                          <a:noFill/>
                          <a:ln w="9525">
                            <a:noFill/>
                            <a:miter lim="800000"/>
                            <a:headEnd/>
                            <a:tailEnd/>
                          </a:ln>
                        </pic:spPr>
                      </pic:pic>
                    </a:graphicData>
                  </a:graphic>
                </wp:inline>
              </w:drawing>
            </w:r>
          </w:p>
          <w:p w14:paraId="7C694E96" w14:textId="77777777" w:rsidR="001C45A2" w:rsidRPr="00034D81" w:rsidRDefault="00757FB5" w:rsidP="00757FB5">
            <w:pPr>
              <w:pStyle w:val="BildTabellenbeschriftung"/>
            </w:pPr>
            <w:bookmarkStart w:id="115" w:name="_Toc421696310"/>
            <w:r w:rsidRPr="00B70AE8">
              <w:t xml:space="preserve">Tableau </w:t>
            </w:r>
            <w:r w:rsidR="00AE6C37">
              <w:fldChar w:fldCharType="begin"/>
            </w:r>
            <w:r w:rsidR="00AE6C37">
              <w:instrText xml:space="preserve"> SEQ Tabelle \* ARABIC </w:instrText>
            </w:r>
            <w:r w:rsidR="00AE6C37">
              <w:fldChar w:fldCharType="separate"/>
            </w:r>
            <w:r w:rsidR="00FD6355">
              <w:t>14</w:t>
            </w:r>
            <w:r w:rsidR="00AE6C37">
              <w:fldChar w:fldCharType="end"/>
            </w:r>
            <w:r w:rsidRPr="00034D81">
              <w:t xml:space="preserve"> </w:t>
            </w:r>
            <w:r w:rsidR="00034D81" w:rsidRPr="00034D81">
              <w:t>(transformation et distribution des énergies finales thermiques et des déchets internes)</w:t>
            </w:r>
            <w:bookmarkEnd w:id="115"/>
          </w:p>
        </w:tc>
      </w:tr>
      <w:tr w:rsidR="00034D81" w:rsidRPr="002D1694" w14:paraId="5C84E636" w14:textId="77777777" w:rsidTr="002E0686">
        <w:trPr>
          <w:cantSplit/>
        </w:trPr>
        <w:tc>
          <w:tcPr>
            <w:tcW w:w="2181" w:type="dxa"/>
          </w:tcPr>
          <w:p w14:paraId="5C6217DA" w14:textId="77777777" w:rsidR="00034D81" w:rsidRPr="002D1694" w:rsidRDefault="002D1694" w:rsidP="00482293">
            <w:pPr>
              <w:pStyle w:val="Tabellentitel"/>
              <w:ind w:left="0" w:right="0"/>
              <w:rPr>
                <w:lang w:val="fr-CH"/>
              </w:rPr>
            </w:pPr>
            <w:r>
              <w:rPr>
                <w:lang w:val="fr-CH"/>
              </w:rPr>
              <w:t>Description</w:t>
            </w:r>
            <w:r w:rsidRPr="002D1694">
              <w:rPr>
                <w:lang w:val="fr-CH"/>
              </w:rPr>
              <w:br/>
            </w:r>
            <w:r w:rsidR="00034D81" w:rsidRPr="002D1694">
              <w:rPr>
                <w:lang w:val="fr-CH"/>
              </w:rPr>
              <w:t>générale</w:t>
            </w:r>
          </w:p>
        </w:tc>
        <w:tc>
          <w:tcPr>
            <w:tcW w:w="7515" w:type="dxa"/>
            <w:shd w:val="clear" w:color="auto" w:fill="B9DAFF"/>
          </w:tcPr>
          <w:p w14:paraId="3A39F551" w14:textId="77777777" w:rsidR="00034D81" w:rsidRPr="002D1694" w:rsidRDefault="00034D81" w:rsidP="00482293">
            <w:pPr>
              <w:ind w:left="340" w:hanging="340"/>
              <w:rPr>
                <w:lang w:val="fr-CH"/>
              </w:rPr>
            </w:pPr>
            <w:r w:rsidRPr="002D1694">
              <w:rPr>
                <w:lang w:val="fr-CH"/>
              </w:rPr>
              <w:t>Aucune.</w:t>
            </w:r>
          </w:p>
        </w:tc>
      </w:tr>
      <w:tr w:rsidR="00034D81" w:rsidRPr="00F82B1E" w14:paraId="7D3644DC" w14:textId="77777777" w:rsidTr="002E0686">
        <w:trPr>
          <w:cantSplit/>
        </w:trPr>
        <w:tc>
          <w:tcPr>
            <w:tcW w:w="2181" w:type="dxa"/>
          </w:tcPr>
          <w:p w14:paraId="718091E3" w14:textId="77777777" w:rsidR="00034D81" w:rsidRPr="002D1694" w:rsidRDefault="00034D81" w:rsidP="00482293">
            <w:pPr>
              <w:pStyle w:val="Tabellentitel"/>
              <w:ind w:left="0" w:right="0"/>
              <w:rPr>
                <w:lang w:val="fr-CH"/>
              </w:rPr>
            </w:pPr>
            <w:r w:rsidRPr="002D1694">
              <w:rPr>
                <w:lang w:val="fr-CH"/>
              </w:rPr>
              <w:lastRenderedPageBreak/>
              <w:t xml:space="preserve">Description des </w:t>
            </w:r>
            <w:r w:rsidRPr="002D1694">
              <w:rPr>
                <w:lang w:val="fr-CH"/>
              </w:rPr>
              <w:br/>
              <w:t xml:space="preserve">différents points: </w:t>
            </w:r>
          </w:p>
        </w:tc>
        <w:tc>
          <w:tcPr>
            <w:tcW w:w="7515" w:type="dxa"/>
            <w:shd w:val="clear" w:color="auto" w:fill="B9DAFF"/>
          </w:tcPr>
          <w:p w14:paraId="6C699D5C" w14:textId="77777777" w:rsidR="00034D81" w:rsidRDefault="00034D81" w:rsidP="00482293">
            <w:pPr>
              <w:pStyle w:val="NummerierteAufzhlung"/>
              <w:numPr>
                <w:ilvl w:val="0"/>
                <w:numId w:val="0"/>
              </w:numPr>
              <w:rPr>
                <w:lang w:val="fr-CH"/>
              </w:rPr>
            </w:pPr>
            <w:r w:rsidRPr="00B70AE8">
              <w:rPr>
                <w:lang w:val="fr-CH"/>
              </w:rPr>
              <w:t xml:space="preserve">Chaudière 1: les pertes par les fumées saisies ont été calculées à partir de la valeur moyenne de la charge totale et de la charge partielle. Comme toutes les conduites sont isolées et que le dispositif de réglage de la pompe de circulation a été remplacé récemment, les pertes de distribution ont été estimées à 10%. </w:t>
            </w:r>
            <w:r w:rsidRPr="00B70AE8">
              <w:rPr>
                <w:lang w:val="fr-CH"/>
              </w:rPr>
              <w:br/>
              <w:t>La chaudière 1 est utilisée pour couvrir la charge de base. </w:t>
            </w:r>
          </w:p>
          <w:p w14:paraId="2AC6C1D8" w14:textId="77777777" w:rsidR="00034D81" w:rsidRDefault="00034D81" w:rsidP="00482293">
            <w:pPr>
              <w:pStyle w:val="NummerierteAufzhlung"/>
              <w:numPr>
                <w:ilvl w:val="0"/>
                <w:numId w:val="0"/>
              </w:numPr>
              <w:rPr>
                <w:lang w:val="fr-CH"/>
              </w:rPr>
            </w:pPr>
            <w:r w:rsidRPr="00B70AE8">
              <w:rPr>
                <w:lang w:val="fr-CH"/>
              </w:rPr>
              <w:t>Chaudière 2: cf. chaudière 1. La chaudière 2 est utilisée pour couvrir la charge de pointe.</w:t>
            </w:r>
          </w:p>
          <w:p w14:paraId="260732D8" w14:textId="77777777" w:rsidR="00034D81" w:rsidRDefault="00034D81" w:rsidP="00482293">
            <w:pPr>
              <w:pStyle w:val="NummerierteAufzhlung"/>
              <w:numPr>
                <w:ilvl w:val="0"/>
                <w:numId w:val="0"/>
              </w:numPr>
              <w:rPr>
                <w:lang w:val="fr-CH"/>
              </w:rPr>
            </w:pPr>
            <w:r w:rsidRPr="00B70AE8">
              <w:rPr>
                <w:lang w:val="fr-CH"/>
              </w:rPr>
              <w:t>On estime que les pertes occasionnées par le dégazeur (eau d’alimentation) se montent à 0,5% de la puissance totale de la chaudière à vapeur. Elles sont incluses approximativement dans les pertes de distribution et dans les pertes au démarrage.</w:t>
            </w:r>
          </w:p>
        </w:tc>
      </w:tr>
      <w:tr w:rsidR="00034D81" w:rsidRPr="00F82B1E" w14:paraId="77E8962F" w14:textId="77777777" w:rsidTr="002E0686">
        <w:trPr>
          <w:cantSplit/>
        </w:trPr>
        <w:tc>
          <w:tcPr>
            <w:tcW w:w="2181" w:type="dxa"/>
            <w:shd w:val="clear" w:color="auto" w:fill="F2DBDB"/>
          </w:tcPr>
          <w:p w14:paraId="25FC9533" w14:textId="77777777" w:rsidR="00034D81" w:rsidRDefault="00034D81" w:rsidP="00482293">
            <w:pPr>
              <w:pStyle w:val="Tabellentitel"/>
              <w:ind w:left="0" w:right="0"/>
            </w:pPr>
            <w:r w:rsidRPr="00B70AE8">
              <w:t>Exigences</w:t>
            </w:r>
          </w:p>
        </w:tc>
        <w:tc>
          <w:tcPr>
            <w:tcW w:w="7515" w:type="dxa"/>
            <w:shd w:val="clear" w:color="auto" w:fill="F2DBDB"/>
          </w:tcPr>
          <w:p w14:paraId="65F480F2" w14:textId="77777777" w:rsidR="00034D81" w:rsidRDefault="003714FF" w:rsidP="00D72126">
            <w:pPr>
              <w:pStyle w:val="AuflistungmitCheckbox"/>
            </w:pPr>
            <w:r w:rsidRPr="00B70AE8">
              <w:fldChar w:fldCharType="begin">
                <w:ffData>
                  <w:name w:val="Kontrollkästchen2"/>
                  <w:enabled/>
                  <w:calcOnExit w:val="0"/>
                  <w:checkBox>
                    <w:sizeAuto/>
                    <w:default w:val="0"/>
                  </w:checkBox>
                </w:ffData>
              </w:fldChar>
            </w:r>
            <w:bookmarkStart w:id="116" w:name="Kontrollkästchen2"/>
            <w:r w:rsidR="00034D81" w:rsidRPr="00B70AE8">
              <w:instrText xml:space="preserve"> FORMCHECKBOX </w:instrText>
            </w:r>
            <w:r w:rsidR="00584FFB">
              <w:fldChar w:fldCharType="separate"/>
            </w:r>
            <w:r w:rsidRPr="00B70AE8">
              <w:fldChar w:fldCharType="end"/>
            </w:r>
            <w:bookmarkEnd w:id="116"/>
            <w:r w:rsidR="00034D81" w:rsidRPr="00B70AE8">
              <w:tab/>
              <w:t xml:space="preserve">Dresser la liste de tous les générateurs d’énergie thermique dans l’entreprise dans la mesure où ils sont prévus dans les formulaires de saisie pour l’année la plus récente figurant dans la demande (p. ex. si on fait en 2013 une demande sur la base des années 2010 et 2011, on doit présenter ici l’année 2011). Si la situation a beaucoup changé depuis 2011, on peut aussi saisir l’année la plus récente après avoir donné une brève justification. </w:t>
            </w:r>
          </w:p>
          <w:p w14:paraId="70039F53" w14:textId="77777777" w:rsidR="00034D81" w:rsidRDefault="003714FF" w:rsidP="00D72126">
            <w:pPr>
              <w:pStyle w:val="AuflistungmitCheckbox"/>
            </w:pPr>
            <w:r w:rsidRPr="00B70AE8">
              <w:fldChar w:fldCharType="begin">
                <w:ffData>
                  <w:name w:val="Kontrollkästchen2"/>
                  <w:enabled/>
                  <w:calcOnExit w:val="0"/>
                  <w:checkBox>
                    <w:sizeAuto/>
                    <w:default w:val="0"/>
                  </w:checkBox>
                </w:ffData>
              </w:fldChar>
            </w:r>
            <w:r w:rsidR="00034D81" w:rsidRPr="00B70AE8">
              <w:instrText xml:space="preserve"> FORMCHECKBOX </w:instrText>
            </w:r>
            <w:r w:rsidR="00584FFB">
              <w:fldChar w:fldCharType="separate"/>
            </w:r>
            <w:r w:rsidRPr="00B70AE8">
              <w:fldChar w:fldCharType="end"/>
            </w:r>
            <w:r w:rsidR="00034D81" w:rsidRPr="00B70AE8">
              <w:tab/>
              <w:t>Si une chaudière fonctionne avec plusieurs énergies (p. ex. au gaz et à l’huile de chauffage, on doit la définir deux fois avec des conditions identiques et la quantité de combustible correspondante.</w:t>
            </w:r>
          </w:p>
          <w:p w14:paraId="2DA3DE23" w14:textId="77777777" w:rsidR="00E72DDF" w:rsidRDefault="003714FF" w:rsidP="00D72126">
            <w:pPr>
              <w:pStyle w:val="AuflistungmitCheckbox"/>
            </w:pPr>
            <w:r w:rsidRPr="00B70AE8">
              <w:fldChar w:fldCharType="begin">
                <w:ffData>
                  <w:name w:val="Kontrollkästchen2"/>
                  <w:enabled/>
                  <w:calcOnExit w:val="0"/>
                  <w:checkBox>
                    <w:sizeAuto/>
                    <w:default w:val="0"/>
                  </w:checkBox>
                </w:ffData>
              </w:fldChar>
            </w:r>
            <w:r w:rsidR="00034D81" w:rsidRPr="00B70AE8">
              <w:instrText xml:space="preserve"> FORMCHECKBOX </w:instrText>
            </w:r>
            <w:r w:rsidR="00584FFB">
              <w:fldChar w:fldCharType="separate"/>
            </w:r>
            <w:r w:rsidRPr="00B70AE8">
              <w:fldChar w:fldCharType="end"/>
            </w:r>
            <w:r w:rsidR="00034D81" w:rsidRPr="00B70AE8">
              <w:tab/>
              <w:t>Décrire la conception.</w:t>
            </w:r>
          </w:p>
          <w:p w14:paraId="56042411" w14:textId="737592E3" w:rsidR="00034D81" w:rsidRDefault="00E72DDF" w:rsidP="00C93ACD">
            <w:pPr>
              <w:pStyle w:val="AuflistungmitCheckbox"/>
            </w:pPr>
            <w:r w:rsidRPr="00B70AE8">
              <w:fldChar w:fldCharType="begin">
                <w:ffData>
                  <w:name w:val="Kontrollkästchen2"/>
                  <w:enabled/>
                  <w:calcOnExit w:val="0"/>
                  <w:checkBox>
                    <w:sizeAuto/>
                    <w:default w:val="0"/>
                  </w:checkBox>
                </w:ffData>
              </w:fldChar>
            </w:r>
            <w:r w:rsidRPr="00B70AE8">
              <w:instrText xml:space="preserve"> FORMCHECKBOX </w:instrText>
            </w:r>
            <w:r w:rsidR="00584FFB">
              <w:fldChar w:fldCharType="separate"/>
            </w:r>
            <w:r w:rsidRPr="00B70AE8">
              <w:fldChar w:fldCharType="end"/>
            </w:r>
            <w:r w:rsidRPr="00B70AE8">
              <w:tab/>
            </w:r>
            <w:r>
              <w:t xml:space="preserve">Pour les conventions d’objectifs universelles, la </w:t>
            </w:r>
            <w:r w:rsidRPr="00E72DDF">
              <w:t xml:space="preserve">transformation et </w:t>
            </w:r>
            <w:r>
              <w:t xml:space="preserve">la </w:t>
            </w:r>
            <w:r w:rsidRPr="00E72DDF">
              <w:t>distribution des énergies finales thermiques</w:t>
            </w:r>
            <w:r>
              <w:t xml:space="preserve"> doivent </w:t>
            </w:r>
            <w:r w:rsidR="00C93ACD">
              <w:t>au moins faire l’objet d’une description qualitative.</w:t>
            </w:r>
          </w:p>
        </w:tc>
      </w:tr>
      <w:tr w:rsidR="00034D81" w:rsidRPr="00BA1C2F" w14:paraId="3B33F724" w14:textId="77777777" w:rsidTr="002E0686">
        <w:trPr>
          <w:cantSplit/>
        </w:trPr>
        <w:tc>
          <w:tcPr>
            <w:tcW w:w="2181" w:type="dxa"/>
            <w:shd w:val="clear" w:color="auto" w:fill="F2F2F2"/>
          </w:tcPr>
          <w:p w14:paraId="30D68C80" w14:textId="77777777" w:rsidR="00034D81" w:rsidRDefault="00034D81" w:rsidP="00482293">
            <w:pPr>
              <w:pStyle w:val="Tabellentitel"/>
              <w:ind w:left="0" w:right="0"/>
            </w:pPr>
            <w:r w:rsidRPr="00B70AE8">
              <w:lastRenderedPageBreak/>
              <w:t>Aide</w:t>
            </w:r>
          </w:p>
        </w:tc>
        <w:tc>
          <w:tcPr>
            <w:tcW w:w="7515" w:type="dxa"/>
            <w:shd w:val="clear" w:color="auto" w:fill="F2F2F2"/>
          </w:tcPr>
          <w:p w14:paraId="31D8D50E" w14:textId="77777777" w:rsidR="00034D81" w:rsidRPr="00BA1C2F" w:rsidRDefault="00034D81" w:rsidP="00D72126">
            <w:pPr>
              <w:pStyle w:val="AuflistungHilfestellung"/>
            </w:pPr>
            <w:r w:rsidRPr="00BA1C2F">
              <w:t>Les pertes par les fumées peuvent être estimées au moyen du compte rendu des mesures des fumées (voir à ce sujet aussi l’aide dans le formulaire).</w:t>
            </w:r>
          </w:p>
          <w:p w14:paraId="667249A8" w14:textId="77777777" w:rsidR="00034D81" w:rsidRPr="00BA1C2F" w:rsidRDefault="00034D81" w:rsidP="00D72126">
            <w:pPr>
              <w:pStyle w:val="AuflistungHilfestellung"/>
            </w:pPr>
            <w:r w:rsidRPr="00BA1C2F">
              <w:t xml:space="preserve">Les pertes au démarrage, à l’arrêt, en mode veille et les pertes de distribution peuvent représenter dans le pire des cas jusqu’à 50% de la consommation d’énergie thermique finale totale. Des valeurs élevées de cet ordre peuvent et doivent être évitées avec des mesures ad hoc. </w:t>
            </w:r>
            <w:r w:rsidRPr="00BA1C2F">
              <w:br/>
              <w:t>Pour évaluer approximativement les valeurs des pertes, on peut partir des valeurs indicatives suivantes:</w:t>
            </w:r>
          </w:p>
          <w:p w14:paraId="4980AE7D" w14:textId="77777777" w:rsidR="000241B1" w:rsidRPr="00D72126" w:rsidRDefault="00034D81" w:rsidP="002D1694">
            <w:pPr>
              <w:pStyle w:val="AuflistungmitCheckbox"/>
              <w:numPr>
                <w:ilvl w:val="0"/>
                <w:numId w:val="30"/>
              </w:numPr>
            </w:pPr>
            <w:r w:rsidRPr="000241B1">
              <w:t xml:space="preserve">Pertes au démarrage, à l’arrêt et en mode veille: elles sont comprises normalement entre 3% et 20%. Le bas de la fourchette de 3% peut être atteint p. ex. avec une chaudière à charge de base exploitée </w:t>
            </w:r>
            <w:r w:rsidRPr="00D72126">
              <w:t>de manière constante pendant un nombre d’heures très élevé (p. ex. plus de 4’000 h/an). Le haut de la fourchette de 20% est atteint p. ex. avec des chaudières à vapeur qui doivent être démarrées et arrêtées chaque jour, dont le temps de fonctionnement annuel est très court (p. ex. moins de 1’000 h/an) et qui ne sont utilisées en journée que pendant une brève période et à pleine puissance. Dans ce cas, un grand volume de stockage interne augmente encore plus les pertes.</w:t>
            </w:r>
          </w:p>
          <w:p w14:paraId="68B2BFEF" w14:textId="77777777" w:rsidR="000241B1" w:rsidRPr="00D72126" w:rsidRDefault="00034D81" w:rsidP="002D1694">
            <w:pPr>
              <w:pStyle w:val="AuflistungHilfestellung"/>
              <w:numPr>
                <w:ilvl w:val="0"/>
                <w:numId w:val="30"/>
              </w:numPr>
            </w:pPr>
            <w:r w:rsidRPr="00D72126">
              <w:t>Pertes de distribution: elles sont comprises normalement entre 3% et 20%, selon la longueur, la localisation (à l’intérieur, à l’extérieur), l’isolation des conduites et des armatures. Une conduite de distribution sous-dimensionnée avec un trop gros débit peut provoquer des pertes supplémentaires.</w:t>
            </w:r>
          </w:p>
          <w:p w14:paraId="2C7A1B74" w14:textId="77777777" w:rsidR="00034D81" w:rsidRPr="000241B1" w:rsidRDefault="00034D81" w:rsidP="00D72126">
            <w:pPr>
              <w:pStyle w:val="AuflistungHilfestellung"/>
            </w:pPr>
            <w:r w:rsidRPr="00D72126">
              <w:t>Avec les données collectées au chapitre 4.1, on peut dessiner dans la plupart des cas à l’aide du tableau de saisie prédéfini le «côté gauche» complet du</w:t>
            </w:r>
            <w:r w:rsidRPr="000241B1">
              <w:t xml:space="preserve"> diagramme de Sankey (diagramme des flux d’énergie): utilisation, transformation et distribution de l’énergie finale.</w:t>
            </w:r>
          </w:p>
          <w:p w14:paraId="637BECA2" w14:textId="77777777" w:rsidR="00034D81" w:rsidRPr="00BA1C2F" w:rsidRDefault="00034D81" w:rsidP="00D72126">
            <w:pPr>
              <w:pStyle w:val="AuflistungHilfestellung"/>
            </w:pPr>
            <w:r w:rsidRPr="00BA1C2F">
              <w:t>Un calcul de contrôle permet de comparer les énergies finales relevées (formulaire 4.1) et la production d’énergie (formulaire 5.2.1)</w:t>
            </w:r>
          </w:p>
          <w:p w14:paraId="2431E53C" w14:textId="77777777" w:rsidR="00034D81" w:rsidRPr="00BA1C2F" w:rsidRDefault="00034D81" w:rsidP="00D72126">
            <w:pPr>
              <w:pStyle w:val="AuflistungHilfestellung"/>
            </w:pPr>
            <w:r w:rsidRPr="00BA1C2F">
              <w:t>La gazéification du bois doit être définie comme CCF moteur à combustion (biogaz) et, si c’est le cas, comme chaudière (alimentée au coke). Le bois, quant à lui, doit être indiqué dans le formulaire 4.1 sous la consommation de bois.</w:t>
            </w:r>
          </w:p>
          <w:p w14:paraId="2933F53B" w14:textId="77777777" w:rsidR="00034D81" w:rsidRPr="00BA1C2F" w:rsidRDefault="00034D81" w:rsidP="00D72126">
            <w:pPr>
              <w:pStyle w:val="AuflistungHilfestellung"/>
            </w:pPr>
            <w:r w:rsidRPr="00BA1C2F">
              <w:t>L’énergie utile calculée dans le présent formulaire se réfère exclusivement à l’énergie utile produite via des énergies thermiques qui est transmise par différents vecteurs de distribution. D’autres transformations de l’énergie importantes au sein de l’entreprise sont décrites dans les formulaires suivants:</w:t>
            </w:r>
          </w:p>
          <w:p w14:paraId="4953A862" w14:textId="77777777" w:rsidR="00034D81" w:rsidRPr="00BA1C2F" w:rsidRDefault="00034D81" w:rsidP="0072420B">
            <w:pPr>
              <w:pStyle w:val="AuflistungmitCheckbox"/>
              <w:numPr>
                <w:ilvl w:val="0"/>
                <w:numId w:val="31"/>
              </w:numPr>
            </w:pPr>
            <w:r w:rsidRPr="00BA1C2F">
              <w:t xml:space="preserve">Pompes à chaleur et machines frigorifiques dans le formulaire 5.2.2; </w:t>
            </w:r>
          </w:p>
          <w:p w14:paraId="296F8A2D" w14:textId="77777777" w:rsidR="00034D81" w:rsidRPr="00BA1C2F" w:rsidRDefault="005E4A7B" w:rsidP="0072420B">
            <w:pPr>
              <w:pStyle w:val="AuflistungmitCheckbox"/>
              <w:numPr>
                <w:ilvl w:val="0"/>
                <w:numId w:val="31"/>
              </w:numPr>
            </w:pPr>
            <w:r>
              <w:t>C</w:t>
            </w:r>
            <w:r w:rsidRPr="005E4A7B">
              <w:t>orps de chauffe électrique</w:t>
            </w:r>
            <w:r>
              <w:t xml:space="preserve"> </w:t>
            </w:r>
            <w:r w:rsidR="00034D81" w:rsidRPr="00BA1C2F">
              <w:t>ou recompression mécanique de la vapeur dans le formulaire 5.3.3 (autres consommateurs d’électricité);</w:t>
            </w:r>
          </w:p>
          <w:p w14:paraId="37149A45" w14:textId="77777777" w:rsidR="00034D81" w:rsidRPr="00BA1C2F" w:rsidRDefault="00034D81" w:rsidP="0072420B">
            <w:pPr>
              <w:pStyle w:val="AuflistungmitCheckbox"/>
              <w:numPr>
                <w:ilvl w:val="0"/>
                <w:numId w:val="31"/>
              </w:numPr>
            </w:pPr>
            <w:r w:rsidRPr="00BA1C2F">
              <w:t>Turbines à vapeur dans le formulaire 5.3.1.</w:t>
            </w:r>
          </w:p>
          <w:p w14:paraId="2C6F0C34" w14:textId="77777777" w:rsidR="00034D81" w:rsidRPr="00BA1C2F" w:rsidRDefault="00034D81" w:rsidP="00D72126">
            <w:pPr>
              <w:pStyle w:val="AuflistungHilfestellung"/>
            </w:pPr>
            <w:r w:rsidRPr="00BA1C2F">
              <w:t>Le formulaire 5.2.1 contient des exemples de diagrammes de Sankey pour les modes de production d’énergie les plus courants. Ces diagrammes facilitent la compréhension des flux d’énergie.</w:t>
            </w:r>
          </w:p>
        </w:tc>
      </w:tr>
    </w:tbl>
    <w:p w14:paraId="539CE829" w14:textId="77777777" w:rsidR="003B2F74" w:rsidRPr="00B4595A" w:rsidRDefault="003B2F74" w:rsidP="00595461"/>
    <w:p w14:paraId="45833CB1" w14:textId="77777777" w:rsidR="00034D81" w:rsidRPr="00401BD0" w:rsidRDefault="003B2F74" w:rsidP="00401BD0">
      <w:pPr>
        <w:pStyle w:val="berschrift3"/>
        <w:rPr>
          <w:lang w:val="fr-CH"/>
        </w:rPr>
      </w:pPr>
      <w:r w:rsidRPr="00401BD0">
        <w:rPr>
          <w:lang w:val="fr-CH"/>
        </w:rPr>
        <w:br w:type="page"/>
      </w:r>
      <w:bookmarkStart w:id="117" w:name="_Toc347303581"/>
      <w:bookmarkStart w:id="118" w:name="_Toc347853266"/>
      <w:bookmarkStart w:id="119" w:name="_Toc354127715"/>
      <w:bookmarkStart w:id="120" w:name="_Toc421696281"/>
      <w:r w:rsidR="00034D81" w:rsidRPr="00401BD0">
        <w:rPr>
          <w:lang w:val="fr-CH"/>
        </w:rPr>
        <w:lastRenderedPageBreak/>
        <w:t>Electricité (machines frigorifiques, pompes à chaleur)</w:t>
      </w:r>
      <w:bookmarkEnd w:id="117"/>
      <w:bookmarkEnd w:id="118"/>
      <w:bookmarkEnd w:id="119"/>
      <w:bookmarkEnd w:id="120"/>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034D81" w:rsidRPr="00F82B1E" w14:paraId="0F45F6BD" w14:textId="77777777" w:rsidTr="00936B78">
        <w:trPr>
          <w:cantSplit/>
        </w:trPr>
        <w:tc>
          <w:tcPr>
            <w:tcW w:w="2181" w:type="dxa"/>
            <w:tcBorders>
              <w:bottom w:val="single" w:sz="4" w:space="0" w:color="auto"/>
            </w:tcBorders>
            <w:shd w:val="clear" w:color="auto" w:fill="F2F2F2"/>
          </w:tcPr>
          <w:p w14:paraId="56BC3D4C" w14:textId="77777777" w:rsidR="00034D81" w:rsidRDefault="00034D81" w:rsidP="005B5736">
            <w:pPr>
              <w:pStyle w:val="Tabellentitel"/>
              <w:ind w:left="0" w:right="0"/>
            </w:pPr>
            <w:r w:rsidRPr="00B70AE8">
              <w:t>Introduction</w:t>
            </w:r>
          </w:p>
        </w:tc>
        <w:tc>
          <w:tcPr>
            <w:tcW w:w="7515" w:type="dxa"/>
            <w:tcBorders>
              <w:bottom w:val="single" w:sz="4" w:space="0" w:color="auto"/>
            </w:tcBorders>
            <w:shd w:val="clear" w:color="auto" w:fill="F2F2F2"/>
          </w:tcPr>
          <w:p w14:paraId="0E887523" w14:textId="00910D3F" w:rsidR="00034D81" w:rsidRPr="00034D81" w:rsidRDefault="00034D81" w:rsidP="005B5736">
            <w:pPr>
              <w:spacing w:line="240" w:lineRule="auto"/>
              <w:ind w:left="0" w:right="0"/>
              <w:rPr>
                <w:lang w:val="fr-CH"/>
              </w:rPr>
            </w:pPr>
            <w:r w:rsidRPr="00034D81">
              <w:rPr>
                <w:lang w:val="fr-CH"/>
              </w:rPr>
              <w:t xml:space="preserve">Le tableau suivant montre toutes les machines frigorifiques et les pompes à chaleur </w:t>
            </w:r>
            <w:r w:rsidR="00C93ACD">
              <w:rPr>
                <w:lang w:val="fr-CH"/>
              </w:rPr>
              <w:t xml:space="preserve">importantes </w:t>
            </w:r>
            <w:r w:rsidRPr="00034D81">
              <w:rPr>
                <w:lang w:val="fr-CH"/>
              </w:rPr>
              <w:t>installées ainsi que leur consommation d’électricité.</w:t>
            </w:r>
          </w:p>
          <w:p w14:paraId="2402821A" w14:textId="77777777" w:rsidR="00034D81" w:rsidRPr="00034D81" w:rsidRDefault="00034D81" w:rsidP="005B5736">
            <w:pPr>
              <w:spacing w:line="240" w:lineRule="auto"/>
              <w:ind w:left="0" w:right="0"/>
              <w:rPr>
                <w:lang w:val="fr-CH"/>
              </w:rPr>
            </w:pPr>
            <w:r w:rsidRPr="00034D81">
              <w:rPr>
                <w:lang w:val="fr-CH"/>
              </w:rPr>
              <w:t>Sur la base des données relatives à la puissance et d’une estimation approximative du temps de fonctionnement à pleine charge, ce tableau donne un aperçu sommaire des principaux potentiels de la chaleur rejetée par les machines frigorifiques dans l’entreprise (illustration 3).</w:t>
            </w:r>
          </w:p>
        </w:tc>
      </w:tr>
      <w:tr w:rsidR="003B2F74" w:rsidRPr="00F82B1E" w14:paraId="040497C1" w14:textId="77777777" w:rsidTr="00936B78">
        <w:trPr>
          <w:cantSplit/>
        </w:trPr>
        <w:tc>
          <w:tcPr>
            <w:tcW w:w="9696" w:type="dxa"/>
            <w:gridSpan w:val="2"/>
            <w:tcBorders>
              <w:bottom w:val="single" w:sz="4" w:space="0" w:color="auto"/>
            </w:tcBorders>
          </w:tcPr>
          <w:p w14:paraId="0A177B98" w14:textId="77777777" w:rsidR="00661936" w:rsidRPr="00936B78" w:rsidRDefault="00C47AA9" w:rsidP="005B5736">
            <w:pPr>
              <w:pStyle w:val="Bild"/>
              <w:spacing w:before="0"/>
              <w:ind w:left="0" w:right="0"/>
            </w:pPr>
            <w:r>
              <w:drawing>
                <wp:inline distT="0" distB="0" distL="0" distR="0" wp14:anchorId="269A2AEB" wp14:editId="036D52B1">
                  <wp:extent cx="6069965" cy="1103630"/>
                  <wp:effectExtent l="19050" t="0" r="6985"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srcRect/>
                          <a:stretch>
                            <a:fillRect/>
                          </a:stretch>
                        </pic:blipFill>
                        <pic:spPr bwMode="auto">
                          <a:xfrm>
                            <a:off x="0" y="0"/>
                            <a:ext cx="6069965" cy="1103630"/>
                          </a:xfrm>
                          <a:prstGeom prst="rect">
                            <a:avLst/>
                          </a:prstGeom>
                          <a:noFill/>
                          <a:ln w="9525">
                            <a:noFill/>
                            <a:miter lim="800000"/>
                            <a:headEnd/>
                            <a:tailEnd/>
                          </a:ln>
                        </pic:spPr>
                      </pic:pic>
                    </a:graphicData>
                  </a:graphic>
                </wp:inline>
              </w:drawing>
            </w:r>
          </w:p>
          <w:p w14:paraId="41ED1BE8" w14:textId="77777777" w:rsidR="00183C90" w:rsidRPr="00936B78" w:rsidRDefault="00C47AA9" w:rsidP="005B5736">
            <w:pPr>
              <w:pStyle w:val="Bild"/>
              <w:spacing w:before="0"/>
              <w:ind w:left="0" w:right="0"/>
            </w:pPr>
            <w:r>
              <w:drawing>
                <wp:inline distT="0" distB="0" distL="0" distR="0" wp14:anchorId="1409F133" wp14:editId="5C76DB09">
                  <wp:extent cx="6069965" cy="678180"/>
                  <wp:effectExtent l="19050" t="0" r="698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srcRect/>
                          <a:stretch>
                            <a:fillRect/>
                          </a:stretch>
                        </pic:blipFill>
                        <pic:spPr bwMode="auto">
                          <a:xfrm>
                            <a:off x="0" y="0"/>
                            <a:ext cx="6069965" cy="678180"/>
                          </a:xfrm>
                          <a:prstGeom prst="rect">
                            <a:avLst/>
                          </a:prstGeom>
                          <a:noFill/>
                          <a:ln w="9525">
                            <a:noFill/>
                            <a:miter lim="800000"/>
                            <a:headEnd/>
                            <a:tailEnd/>
                          </a:ln>
                        </pic:spPr>
                      </pic:pic>
                    </a:graphicData>
                  </a:graphic>
                </wp:inline>
              </w:drawing>
            </w:r>
          </w:p>
          <w:p w14:paraId="40547B22" w14:textId="77777777" w:rsidR="003B2F74" w:rsidRPr="00936B78" w:rsidRDefault="00757FB5" w:rsidP="00757FB5">
            <w:pPr>
              <w:pStyle w:val="BildTabellenbeschriftung"/>
            </w:pPr>
            <w:bookmarkStart w:id="121" w:name="_Toc421696311"/>
            <w:r w:rsidRPr="00B70AE8">
              <w:t xml:space="preserve">Tableau </w:t>
            </w:r>
            <w:r w:rsidR="00AE6C37">
              <w:fldChar w:fldCharType="begin"/>
            </w:r>
            <w:r w:rsidR="00AE6C37">
              <w:instrText xml:space="preserve"> SEQ Tabelle \* ARABIC </w:instrText>
            </w:r>
            <w:r w:rsidR="00AE6C37">
              <w:fldChar w:fldCharType="separate"/>
            </w:r>
            <w:r w:rsidR="00FD6355">
              <w:t>15</w:t>
            </w:r>
            <w:r w:rsidR="00AE6C37">
              <w:fldChar w:fldCharType="end"/>
            </w:r>
            <w:r w:rsidR="000B2687" w:rsidRPr="000B2687">
              <w:t xml:space="preserve"> (machines frigorifiques et pompes à chaleur)</w:t>
            </w:r>
            <w:bookmarkEnd w:id="121"/>
          </w:p>
        </w:tc>
      </w:tr>
      <w:tr w:rsidR="003B2F74" w:rsidRPr="00F82B1E" w14:paraId="10063003" w14:textId="77777777" w:rsidTr="00936B78">
        <w:trPr>
          <w:cantSplit/>
        </w:trPr>
        <w:tc>
          <w:tcPr>
            <w:tcW w:w="9696" w:type="dxa"/>
            <w:gridSpan w:val="2"/>
            <w:tcBorders>
              <w:bottom w:val="single" w:sz="4" w:space="0" w:color="auto"/>
            </w:tcBorders>
          </w:tcPr>
          <w:p w14:paraId="3F3E76C5" w14:textId="77777777" w:rsidR="00E1591B" w:rsidRPr="00936B78" w:rsidRDefault="00C47AA9" w:rsidP="00F16C61">
            <w:pPr>
              <w:pStyle w:val="BildTabellenbeschriftung"/>
            </w:pPr>
            <w:r>
              <w:rPr>
                <w:lang w:val="de-CH"/>
              </w:rPr>
              <w:drawing>
                <wp:inline distT="0" distB="0" distL="0" distR="0" wp14:anchorId="56BDDA3C" wp14:editId="4C6A1433">
                  <wp:extent cx="5533390" cy="2080895"/>
                  <wp:effectExtent l="1905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cstate="print"/>
                          <a:srcRect/>
                          <a:stretch>
                            <a:fillRect/>
                          </a:stretch>
                        </pic:blipFill>
                        <pic:spPr bwMode="auto">
                          <a:xfrm>
                            <a:off x="0" y="0"/>
                            <a:ext cx="5533390" cy="2080895"/>
                          </a:xfrm>
                          <a:prstGeom prst="rect">
                            <a:avLst/>
                          </a:prstGeom>
                          <a:noFill/>
                          <a:ln w="9525">
                            <a:noFill/>
                            <a:miter lim="800000"/>
                            <a:headEnd/>
                            <a:tailEnd/>
                          </a:ln>
                        </pic:spPr>
                      </pic:pic>
                    </a:graphicData>
                  </a:graphic>
                </wp:inline>
              </w:drawing>
            </w:r>
          </w:p>
          <w:p w14:paraId="5A5F2B1F" w14:textId="77777777" w:rsidR="003B2F74" w:rsidRPr="000B2687" w:rsidRDefault="00E8448C" w:rsidP="00F16C61">
            <w:pPr>
              <w:pStyle w:val="BildTabellenbeschriftung"/>
            </w:pPr>
            <w:bookmarkStart w:id="122" w:name="_Toc421696293"/>
            <w:r w:rsidRPr="00753B0A">
              <w:t>Illustration</w:t>
            </w:r>
            <w:r w:rsidRPr="00B70AE8">
              <w:t xml:space="preserve"> </w:t>
            </w:r>
            <w:r w:rsidR="003714FF">
              <w:rPr>
                <w:noProof w:val="0"/>
              </w:rPr>
              <w:fldChar w:fldCharType="begin"/>
            </w:r>
            <w:r>
              <w:rPr>
                <w:noProof w:val="0"/>
              </w:rPr>
              <w:instrText xml:space="preserve"> SEQ Abbildung \* ARABIC </w:instrText>
            </w:r>
            <w:r w:rsidR="003714FF">
              <w:rPr>
                <w:noProof w:val="0"/>
              </w:rPr>
              <w:fldChar w:fldCharType="separate"/>
            </w:r>
            <w:r w:rsidR="00FD6355">
              <w:t>3</w:t>
            </w:r>
            <w:r w:rsidR="003714FF">
              <w:rPr>
                <w:noProof w:val="0"/>
              </w:rPr>
              <w:fldChar w:fldCharType="end"/>
            </w:r>
            <w:r w:rsidRPr="000B2687">
              <w:t xml:space="preserve"> </w:t>
            </w:r>
            <w:r w:rsidR="000B2687" w:rsidRPr="000B2687">
              <w:t>(machines frigorifiques – consommation d’électricité et rejets de chaleur)</w:t>
            </w:r>
            <w:bookmarkEnd w:id="122"/>
          </w:p>
        </w:tc>
      </w:tr>
      <w:tr w:rsidR="000B2687" w:rsidRPr="00936B78" w14:paraId="097D0293" w14:textId="77777777" w:rsidTr="00936B78">
        <w:trPr>
          <w:cantSplit/>
        </w:trPr>
        <w:tc>
          <w:tcPr>
            <w:tcW w:w="2181" w:type="dxa"/>
            <w:shd w:val="clear" w:color="auto" w:fill="auto"/>
          </w:tcPr>
          <w:p w14:paraId="586C9E35" w14:textId="77777777" w:rsidR="000B2687" w:rsidRDefault="000B2687" w:rsidP="005B5736">
            <w:pPr>
              <w:pStyle w:val="Tabellentitel"/>
              <w:ind w:left="0" w:right="0"/>
            </w:pPr>
            <w:r w:rsidRPr="00B70AE8">
              <w:t>Description générale</w:t>
            </w:r>
          </w:p>
        </w:tc>
        <w:tc>
          <w:tcPr>
            <w:tcW w:w="7515" w:type="dxa"/>
            <w:shd w:val="clear" w:color="auto" w:fill="B9DAFF"/>
          </w:tcPr>
          <w:p w14:paraId="59FE3D28" w14:textId="77777777" w:rsidR="000B2687" w:rsidRDefault="000B2687" w:rsidP="00477949">
            <w:pPr>
              <w:ind w:left="0" w:right="0"/>
            </w:pPr>
            <w:r w:rsidRPr="00B70AE8">
              <w:t>Aucune.</w:t>
            </w:r>
          </w:p>
        </w:tc>
      </w:tr>
      <w:tr w:rsidR="000B2687" w:rsidRPr="00936B78" w14:paraId="585D1C29" w14:textId="77777777" w:rsidTr="00936B78">
        <w:trPr>
          <w:cantSplit/>
        </w:trPr>
        <w:tc>
          <w:tcPr>
            <w:tcW w:w="2181" w:type="dxa"/>
          </w:tcPr>
          <w:p w14:paraId="1BD8691E" w14:textId="77777777" w:rsidR="000B2687" w:rsidRDefault="000B2687" w:rsidP="005B5736">
            <w:pPr>
              <w:pStyle w:val="Tabellentitel"/>
              <w:ind w:left="0" w:right="0"/>
            </w:pPr>
            <w:r w:rsidRPr="00B70AE8">
              <w:t xml:space="preserve">Description des </w:t>
            </w:r>
            <w:r w:rsidRPr="00B70AE8">
              <w:br/>
              <w:t xml:space="preserve">différents points: </w:t>
            </w:r>
          </w:p>
        </w:tc>
        <w:tc>
          <w:tcPr>
            <w:tcW w:w="7515" w:type="dxa"/>
            <w:shd w:val="clear" w:color="auto" w:fill="B9DAFF"/>
          </w:tcPr>
          <w:p w14:paraId="584561B7" w14:textId="77777777" w:rsidR="00477949" w:rsidRDefault="000B2687" w:rsidP="000D4B44">
            <w:pPr>
              <w:pStyle w:val="NummerierteAufzhlung"/>
              <w:numPr>
                <w:ilvl w:val="0"/>
                <w:numId w:val="19"/>
              </w:numPr>
              <w:spacing w:after="0"/>
              <w:ind w:left="340" w:hanging="340"/>
              <w:rPr>
                <w:lang w:val="fr-CH"/>
              </w:rPr>
            </w:pPr>
            <w:r w:rsidRPr="00B70AE8">
              <w:rPr>
                <w:lang w:val="fr-CH"/>
              </w:rPr>
              <w:t>La machine frigorifique 1 est utilisée pour le réservoir d’eau glacée, qui est refroidi par un circuit d’eau glycolée. La température moyenne aller et la température moyenne retour s’élèvent à -8 °C resp. -4 °C.</w:t>
            </w:r>
          </w:p>
          <w:p w14:paraId="78C27DB2" w14:textId="77777777" w:rsidR="000B2687" w:rsidRDefault="000B2687" w:rsidP="000D4B44">
            <w:pPr>
              <w:pStyle w:val="NummerierteAufzhlung"/>
              <w:numPr>
                <w:ilvl w:val="0"/>
                <w:numId w:val="19"/>
              </w:numPr>
              <w:spacing w:after="0"/>
              <w:ind w:left="340" w:hanging="340"/>
              <w:rPr>
                <w:lang w:val="fr-CH"/>
              </w:rPr>
            </w:pPr>
            <w:r w:rsidRPr="00B70AE8">
              <w:rPr>
                <w:lang w:val="fr-CH"/>
              </w:rPr>
              <w:t>La machine frigorifique 2 est utilisée pour refroidir le local via un circuit d’eau glycolée. La température moyenne aller et la température moyenne retour s’élèvent à -4 °C resp. +2 °C.</w:t>
            </w:r>
          </w:p>
        </w:tc>
      </w:tr>
      <w:tr w:rsidR="000B2687" w:rsidRPr="00F82B1E" w14:paraId="6C8BF84F" w14:textId="77777777" w:rsidTr="00936B78">
        <w:trPr>
          <w:cantSplit/>
        </w:trPr>
        <w:tc>
          <w:tcPr>
            <w:tcW w:w="2181" w:type="dxa"/>
            <w:shd w:val="clear" w:color="auto" w:fill="F2DBDB"/>
          </w:tcPr>
          <w:p w14:paraId="070E2C89" w14:textId="77777777" w:rsidR="000B2687" w:rsidRDefault="000B2687" w:rsidP="005B5736">
            <w:pPr>
              <w:pStyle w:val="Tabellentitel"/>
              <w:ind w:left="0" w:right="0"/>
            </w:pPr>
            <w:r w:rsidRPr="00B70AE8">
              <w:lastRenderedPageBreak/>
              <w:t>Exigences</w:t>
            </w:r>
          </w:p>
        </w:tc>
        <w:tc>
          <w:tcPr>
            <w:tcW w:w="7515" w:type="dxa"/>
            <w:shd w:val="clear" w:color="auto" w:fill="F2DBDB"/>
          </w:tcPr>
          <w:p w14:paraId="45CF3CDD" w14:textId="77777777" w:rsidR="000B2687" w:rsidRDefault="003714FF"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 xml:space="preserve">Indiquer les machines frigorifiques utilisées dans l’entreprise. L’objectif est d’analyser le potentiel de la chaleur qu’elles rejettent: par conséquent, une estimation approximative du temps de fonctionnement à pleine charge suffit. </w:t>
            </w:r>
          </w:p>
          <w:p w14:paraId="3A5ED3DC" w14:textId="77777777" w:rsidR="000B2687" w:rsidRDefault="003714FF"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Indiquer les pompes à chaleur utilisées dans l’entreprise. L’objectif est d’avoir une vue d’ensemble de la production d’énergie thermique dans l’entreprise. Le temps de fonctionnement à pleine charge peut être estimé.</w:t>
            </w:r>
          </w:p>
          <w:p w14:paraId="08BF348E" w14:textId="0BC868CB" w:rsidR="00C93ACD" w:rsidRDefault="00C93ACD"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Pr="00B70AE8">
              <w:rPr>
                <w:rFonts w:ascii="Wingdings" w:hAnsi="Wingdings"/>
              </w:rPr>
              <w:tab/>
            </w:r>
            <w:r>
              <w:t>Pour les conventions d’objectifs universelles, les consommateurs d’électricité doivent au moins faire l’objet d’une description qualitative.</w:t>
            </w:r>
          </w:p>
          <w:p w14:paraId="62F27623" w14:textId="77777777" w:rsidR="000B2687" w:rsidRDefault="003714FF"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Si l’entreprise possède déjà une liste d’inventaire qui couvre les données obligatoires requises, il est possible de la joindre en annexe.</w:t>
            </w:r>
          </w:p>
          <w:p w14:paraId="0AAB070B" w14:textId="77777777" w:rsidR="000B2687" w:rsidRDefault="003714FF"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 xml:space="preserve">Les installations de même construction peuvent être agrégées lorsque cela est </w:t>
            </w:r>
            <w:r w:rsidR="000B2687" w:rsidRPr="00D72126">
              <w:t>judicieux</w:t>
            </w:r>
            <w:r w:rsidR="000B2687" w:rsidRPr="00B70AE8">
              <w:t xml:space="preserve"> au plan énergétique et que cette agrégation conduit à une estimation plausible du potentiel des rejets de chaleur.</w:t>
            </w:r>
          </w:p>
          <w:p w14:paraId="5E39DACE" w14:textId="77777777" w:rsidR="000B2687" w:rsidRDefault="003714FF"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Les petits consommateurs décentralisés (p. ex. armoires frigorifiques dans une exploitation hôtelière) peuvent être indiqués sous forme agrégée au chapitre 5.3.2 sous «Autres consommateurs d’électricité».</w:t>
            </w:r>
          </w:p>
        </w:tc>
      </w:tr>
      <w:tr w:rsidR="000B2687" w:rsidRPr="00F82B1E" w14:paraId="3CCB1F40" w14:textId="77777777" w:rsidTr="00936B78">
        <w:trPr>
          <w:cantSplit/>
          <w:trHeight w:val="2875"/>
        </w:trPr>
        <w:tc>
          <w:tcPr>
            <w:tcW w:w="2181" w:type="dxa"/>
            <w:shd w:val="clear" w:color="auto" w:fill="F2F2F2"/>
          </w:tcPr>
          <w:p w14:paraId="50C1E8FB" w14:textId="77777777" w:rsidR="000B2687" w:rsidRDefault="000B2687" w:rsidP="005B5736">
            <w:pPr>
              <w:pStyle w:val="Tabellentitel"/>
              <w:ind w:left="0" w:right="0"/>
            </w:pPr>
            <w:r w:rsidRPr="00B70AE8">
              <w:t>Aide</w:t>
            </w:r>
          </w:p>
        </w:tc>
        <w:tc>
          <w:tcPr>
            <w:tcW w:w="7515" w:type="dxa"/>
            <w:shd w:val="clear" w:color="auto" w:fill="F2F2F2"/>
          </w:tcPr>
          <w:p w14:paraId="3A13CFCF" w14:textId="77777777" w:rsidR="000B2687" w:rsidRDefault="000B2687" w:rsidP="00D72126">
            <w:pPr>
              <w:pStyle w:val="AuflistungHilfestellung"/>
            </w:pPr>
            <w:r w:rsidRPr="00B70AE8">
              <w:t>Le tableau Excel «</w:t>
            </w:r>
            <w:hyperlink r:id="rId41" w:history="1">
              <w:r>
                <w:rPr>
                  <w:rStyle w:val="Hyperlink"/>
                </w:rPr>
                <w:t>Estimation de la consommation d’électricité d’installations frigorifiques</w:t>
              </w:r>
            </w:hyperlink>
            <w:r w:rsidRPr="00B70AE8">
              <w:t>» peut être utilisé pour déterminer le temps de fonctionnement à pleine charge et le besoin en électricité d’une installation frigorifique à l’aide de valeurs de saisie qui peuvent être facilement relevées.</w:t>
            </w:r>
          </w:p>
          <w:p w14:paraId="2517FDE2" w14:textId="77777777" w:rsidR="000B2687" w:rsidRDefault="000B2687" w:rsidP="00D72126">
            <w:pPr>
              <w:pStyle w:val="AuflistungHilfestellung"/>
            </w:pPr>
            <w:r w:rsidRPr="00B70AE8">
              <w:t xml:space="preserve">Des informations visant à diminuer la consommation de froid et les frais d’exploitation d’installations frigorifiques sont disponibles sur </w:t>
            </w:r>
            <w:hyperlink r:id="rId42" w:history="1">
              <w:r>
                <w:rPr>
                  <w:rStyle w:val="Hyperlink"/>
                </w:rPr>
                <w:t>www.froid-efficace.ch</w:t>
              </w:r>
            </w:hyperlink>
            <w:r w:rsidRPr="00B70AE8">
              <w:t>.</w:t>
            </w:r>
          </w:p>
          <w:p w14:paraId="24739E18" w14:textId="77777777" w:rsidR="000B2687" w:rsidRDefault="000B2687" w:rsidP="00D72126">
            <w:pPr>
              <w:pStyle w:val="AuflistungHilfestellung"/>
            </w:pPr>
            <w:r w:rsidRPr="00B70AE8">
              <w:t>Notamment en cas d’investissements de remplacement, il est important d’estimer le potentiel annuel de la chaleur rejetée par une machine frigorifique pour évaluer l’utilisation d’une installation refroidie à l’eau.</w:t>
            </w:r>
          </w:p>
          <w:p w14:paraId="0284D424" w14:textId="77777777" w:rsidR="000B2687" w:rsidRDefault="000B2687" w:rsidP="00D72126">
            <w:pPr>
              <w:pStyle w:val="AuflistungHilfestellung"/>
            </w:pPr>
            <w:r w:rsidRPr="00B70AE8">
              <w:t>Un tableau similaire pourrait p. ex. aussi être utilisé pour dresser l’inventaire de tours de refroidissement. Il y est renoncé dans le cadre de la présente analyse des potentiels.</w:t>
            </w:r>
          </w:p>
        </w:tc>
      </w:tr>
    </w:tbl>
    <w:p w14:paraId="577AC09A" w14:textId="77777777" w:rsidR="000B2687" w:rsidRDefault="00C57432" w:rsidP="000073BF">
      <w:pPr>
        <w:pStyle w:val="berschrift2"/>
      </w:pPr>
      <w:r>
        <w:br w:type="page"/>
      </w:r>
      <w:bookmarkStart w:id="123" w:name="_Toc354127716"/>
      <w:bookmarkStart w:id="124" w:name="_Toc421696282"/>
      <w:r w:rsidR="000B2687" w:rsidRPr="00B70AE8">
        <w:lastRenderedPageBreak/>
        <w:t>Consommateurs (énergie utile)</w:t>
      </w:r>
      <w:bookmarkEnd w:id="123"/>
      <w:bookmarkEnd w:id="124"/>
    </w:p>
    <w:p w14:paraId="1B3BC96F" w14:textId="77777777" w:rsidR="00293C0D" w:rsidRPr="00B4595A" w:rsidRDefault="000B2687" w:rsidP="00401BD0">
      <w:pPr>
        <w:pStyle w:val="berschrift3"/>
      </w:pPr>
      <w:bookmarkStart w:id="125" w:name="_Toc347303583"/>
      <w:bookmarkStart w:id="126" w:name="_Toc347853268"/>
      <w:bookmarkStart w:id="127" w:name="_Toc354127717"/>
      <w:bookmarkStart w:id="128" w:name="_Toc421696283"/>
      <w:r w:rsidRPr="00B70AE8">
        <w:t>Chaleur (énergie thermique utile)</w:t>
      </w:r>
      <w:bookmarkEnd w:id="125"/>
      <w:bookmarkEnd w:id="126"/>
      <w:bookmarkEnd w:id="127"/>
      <w:bookmarkEnd w:id="128"/>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0B2687" w:rsidRPr="00F82B1E" w14:paraId="67C74358" w14:textId="77777777" w:rsidTr="00936B78">
        <w:trPr>
          <w:cantSplit/>
        </w:trPr>
        <w:tc>
          <w:tcPr>
            <w:tcW w:w="2181" w:type="dxa"/>
            <w:tcBorders>
              <w:bottom w:val="single" w:sz="4" w:space="0" w:color="auto"/>
            </w:tcBorders>
            <w:shd w:val="clear" w:color="auto" w:fill="F2F2F2"/>
          </w:tcPr>
          <w:p w14:paraId="5FAB79F8" w14:textId="77777777" w:rsidR="000B2687" w:rsidRDefault="000B2687" w:rsidP="00477949">
            <w:pPr>
              <w:pStyle w:val="Tabellentitel"/>
              <w:ind w:left="0" w:right="0"/>
            </w:pPr>
            <w:r w:rsidRPr="00B70AE8">
              <w:t>Introduction</w:t>
            </w:r>
          </w:p>
        </w:tc>
        <w:tc>
          <w:tcPr>
            <w:tcW w:w="7515" w:type="dxa"/>
            <w:tcBorders>
              <w:bottom w:val="single" w:sz="4" w:space="0" w:color="auto"/>
            </w:tcBorders>
            <w:shd w:val="clear" w:color="auto" w:fill="F2F2F2"/>
          </w:tcPr>
          <w:p w14:paraId="50730658" w14:textId="77777777" w:rsidR="000B2687" w:rsidRPr="000B2687" w:rsidRDefault="000B2687" w:rsidP="00477949">
            <w:pPr>
              <w:ind w:left="0"/>
              <w:rPr>
                <w:lang w:val="fr-CH"/>
              </w:rPr>
            </w:pPr>
            <w:r w:rsidRPr="000B2687">
              <w:rPr>
                <w:lang w:val="fr-CH"/>
              </w:rPr>
              <w:t xml:space="preserve">On présente et explique plus en détail ici l’énergie utile des principaux consommateurs thermiques sur une base annuelle. </w:t>
            </w:r>
          </w:p>
        </w:tc>
      </w:tr>
      <w:tr w:rsidR="00197547" w:rsidRPr="00F82B1E" w14:paraId="303049DF" w14:textId="77777777" w:rsidTr="00936B78">
        <w:trPr>
          <w:cantSplit/>
        </w:trPr>
        <w:tc>
          <w:tcPr>
            <w:tcW w:w="9696" w:type="dxa"/>
            <w:gridSpan w:val="2"/>
            <w:tcBorders>
              <w:bottom w:val="single" w:sz="4" w:space="0" w:color="auto"/>
            </w:tcBorders>
          </w:tcPr>
          <w:p w14:paraId="626F7DF4" w14:textId="77777777" w:rsidR="00197547" w:rsidRPr="00936B78" w:rsidRDefault="00C47AA9" w:rsidP="00477949">
            <w:pPr>
              <w:pStyle w:val="Bild"/>
              <w:ind w:left="0" w:right="0"/>
            </w:pPr>
            <w:r>
              <w:drawing>
                <wp:inline distT="0" distB="0" distL="0" distR="0" wp14:anchorId="1C95D1A7" wp14:editId="3A98C770">
                  <wp:extent cx="6085205" cy="2317750"/>
                  <wp:effectExtent l="1905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srcRect/>
                          <a:stretch>
                            <a:fillRect/>
                          </a:stretch>
                        </pic:blipFill>
                        <pic:spPr bwMode="auto">
                          <a:xfrm>
                            <a:off x="0" y="0"/>
                            <a:ext cx="6085205" cy="2317750"/>
                          </a:xfrm>
                          <a:prstGeom prst="rect">
                            <a:avLst/>
                          </a:prstGeom>
                          <a:noFill/>
                          <a:ln w="9525">
                            <a:noFill/>
                            <a:miter lim="800000"/>
                            <a:headEnd/>
                            <a:tailEnd/>
                          </a:ln>
                        </pic:spPr>
                      </pic:pic>
                    </a:graphicData>
                  </a:graphic>
                </wp:inline>
              </w:drawing>
            </w:r>
          </w:p>
          <w:p w14:paraId="6A3FE490" w14:textId="77777777" w:rsidR="00197547" w:rsidRPr="00936B78" w:rsidRDefault="00757FB5" w:rsidP="00757FB5">
            <w:pPr>
              <w:pStyle w:val="BildTabellenbeschriftung"/>
            </w:pPr>
            <w:bookmarkStart w:id="129" w:name="_Toc421696312"/>
            <w:r w:rsidRPr="00B70AE8">
              <w:t xml:space="preserve">Tableau </w:t>
            </w:r>
            <w:r w:rsidR="00AE6C37">
              <w:fldChar w:fldCharType="begin"/>
            </w:r>
            <w:r w:rsidR="00AE6C37">
              <w:instrText xml:space="preserve"> SEQ Tabelle \* ARABIC </w:instrText>
            </w:r>
            <w:r w:rsidR="00AE6C37">
              <w:fldChar w:fldCharType="separate"/>
            </w:r>
            <w:r w:rsidR="00FD6355">
              <w:t>16</w:t>
            </w:r>
            <w:r w:rsidR="00AE6C37">
              <w:fldChar w:fldCharType="end"/>
            </w:r>
            <w:r w:rsidRPr="000B2687">
              <w:t xml:space="preserve"> </w:t>
            </w:r>
            <w:r w:rsidR="000B2687" w:rsidRPr="000B2687">
              <w:t>(consommateurs de chaleur [énergie thermique utile])</w:t>
            </w:r>
            <w:bookmarkEnd w:id="129"/>
          </w:p>
        </w:tc>
      </w:tr>
      <w:tr w:rsidR="00D142A3" w:rsidRPr="00F82B1E" w14:paraId="28A64340" w14:textId="77777777" w:rsidTr="00936B78">
        <w:trPr>
          <w:cantSplit/>
        </w:trPr>
        <w:tc>
          <w:tcPr>
            <w:tcW w:w="9696" w:type="dxa"/>
            <w:gridSpan w:val="2"/>
            <w:tcBorders>
              <w:bottom w:val="single" w:sz="4" w:space="0" w:color="auto"/>
            </w:tcBorders>
          </w:tcPr>
          <w:p w14:paraId="478EB685" w14:textId="77777777" w:rsidR="00D142A3" w:rsidRPr="00936B78" w:rsidRDefault="00C47AA9" w:rsidP="00477949">
            <w:pPr>
              <w:pStyle w:val="Bild"/>
              <w:ind w:left="0" w:right="0"/>
            </w:pPr>
            <w:r>
              <w:drawing>
                <wp:inline distT="0" distB="0" distL="0" distR="0" wp14:anchorId="1227F060" wp14:editId="213D60CD">
                  <wp:extent cx="5297170" cy="2459355"/>
                  <wp:effectExtent l="1905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srcRect/>
                          <a:stretch>
                            <a:fillRect/>
                          </a:stretch>
                        </pic:blipFill>
                        <pic:spPr bwMode="auto">
                          <a:xfrm>
                            <a:off x="0" y="0"/>
                            <a:ext cx="5297170" cy="2459355"/>
                          </a:xfrm>
                          <a:prstGeom prst="rect">
                            <a:avLst/>
                          </a:prstGeom>
                          <a:noFill/>
                          <a:ln w="9525">
                            <a:noFill/>
                            <a:miter lim="800000"/>
                            <a:headEnd/>
                            <a:tailEnd/>
                          </a:ln>
                        </pic:spPr>
                      </pic:pic>
                    </a:graphicData>
                  </a:graphic>
                </wp:inline>
              </w:drawing>
            </w:r>
          </w:p>
          <w:p w14:paraId="48FCE33C" w14:textId="77777777" w:rsidR="00D142A3" w:rsidRPr="000B2687" w:rsidRDefault="00E8448C" w:rsidP="00F16C61">
            <w:pPr>
              <w:pStyle w:val="BildTabellenbeschriftung"/>
            </w:pPr>
            <w:bookmarkStart w:id="130" w:name="_Toc421696294"/>
            <w:r w:rsidRPr="00753B0A">
              <w:t>Illustration</w:t>
            </w:r>
            <w:r w:rsidRPr="00B70AE8">
              <w:t xml:space="preserve"> </w:t>
            </w:r>
            <w:r w:rsidR="003714FF">
              <w:rPr>
                <w:noProof w:val="0"/>
              </w:rPr>
              <w:fldChar w:fldCharType="begin"/>
            </w:r>
            <w:r>
              <w:rPr>
                <w:noProof w:val="0"/>
              </w:rPr>
              <w:instrText xml:space="preserve"> SEQ Abbildung \* ARABIC </w:instrText>
            </w:r>
            <w:r w:rsidR="003714FF">
              <w:rPr>
                <w:noProof w:val="0"/>
              </w:rPr>
              <w:fldChar w:fldCharType="separate"/>
            </w:r>
            <w:r w:rsidR="00FD6355">
              <w:t>4</w:t>
            </w:r>
            <w:r w:rsidR="003714FF">
              <w:rPr>
                <w:noProof w:val="0"/>
              </w:rPr>
              <w:fldChar w:fldCharType="end"/>
            </w:r>
            <w:r w:rsidRPr="000B2687">
              <w:t xml:space="preserve"> </w:t>
            </w:r>
            <w:r w:rsidR="000B2687" w:rsidRPr="000B2687">
              <w:t>(consommation d’énergie thermique finale pour le chauffage des bâtiments/la production)</w:t>
            </w:r>
            <w:bookmarkEnd w:id="130"/>
          </w:p>
        </w:tc>
      </w:tr>
      <w:tr w:rsidR="000B2687" w:rsidRPr="00936B78" w14:paraId="0DE57DF7" w14:textId="77777777" w:rsidTr="00936B78">
        <w:trPr>
          <w:cantSplit/>
        </w:trPr>
        <w:tc>
          <w:tcPr>
            <w:tcW w:w="2181" w:type="dxa"/>
          </w:tcPr>
          <w:p w14:paraId="0D6EA88C" w14:textId="77777777" w:rsidR="000B2687" w:rsidRDefault="000B2687" w:rsidP="00477949">
            <w:pPr>
              <w:pStyle w:val="Tabellentitel"/>
              <w:ind w:left="0" w:right="0"/>
            </w:pPr>
            <w:r w:rsidRPr="00B70AE8">
              <w:t>Description générale</w:t>
            </w:r>
          </w:p>
        </w:tc>
        <w:tc>
          <w:tcPr>
            <w:tcW w:w="7515" w:type="dxa"/>
            <w:tcBorders>
              <w:bottom w:val="single" w:sz="4" w:space="0" w:color="auto"/>
            </w:tcBorders>
            <w:shd w:val="clear" w:color="auto" w:fill="B9DAFF"/>
          </w:tcPr>
          <w:p w14:paraId="6944C279" w14:textId="77777777" w:rsidR="000B2687" w:rsidRDefault="000B2687" w:rsidP="00477949">
            <w:pPr>
              <w:ind w:left="340" w:right="0" w:hanging="340"/>
            </w:pPr>
            <w:r w:rsidRPr="00B70AE8">
              <w:t>Aucune.</w:t>
            </w:r>
          </w:p>
        </w:tc>
      </w:tr>
      <w:tr w:rsidR="000B2687" w:rsidRPr="00F82B1E" w14:paraId="4A510762" w14:textId="77777777" w:rsidTr="00936B78">
        <w:trPr>
          <w:cantSplit/>
        </w:trPr>
        <w:tc>
          <w:tcPr>
            <w:tcW w:w="2181" w:type="dxa"/>
          </w:tcPr>
          <w:p w14:paraId="381E36AF" w14:textId="77777777" w:rsidR="000B2687" w:rsidRDefault="000B2687" w:rsidP="00477949">
            <w:pPr>
              <w:pStyle w:val="Tabellentitel"/>
              <w:ind w:left="0" w:right="0"/>
            </w:pPr>
            <w:r w:rsidRPr="00B70AE8">
              <w:t xml:space="preserve">Description des </w:t>
            </w:r>
            <w:r w:rsidRPr="00B70AE8">
              <w:br/>
              <w:t xml:space="preserve">différents points: </w:t>
            </w:r>
          </w:p>
        </w:tc>
        <w:tc>
          <w:tcPr>
            <w:tcW w:w="7515" w:type="dxa"/>
            <w:shd w:val="clear" w:color="auto" w:fill="B9DAFF"/>
          </w:tcPr>
          <w:p w14:paraId="7A24BC20" w14:textId="77777777" w:rsidR="00477949" w:rsidRPr="00477949" w:rsidRDefault="000B2687" w:rsidP="000D4B44">
            <w:pPr>
              <w:pStyle w:val="NummerierteAufzhlung"/>
              <w:numPr>
                <w:ilvl w:val="0"/>
                <w:numId w:val="20"/>
              </w:numPr>
              <w:rPr>
                <w:lang w:val="fr-CH"/>
              </w:rPr>
            </w:pPr>
            <w:r w:rsidRPr="00477949">
              <w:rPr>
                <w:lang w:val="fr-CH"/>
              </w:rPr>
              <w:t xml:space="preserve">Chauffage de la solution alcaline à 65 °C et circulation de cette solution durant un certain temps (selon le produit, les nettoyages précédents, etc.). La solution alcaline provient d’un réservoir de stockage à env. 60 °C, elle est chauffée avant de circuler, ce qui signifie que l’échangeur de chaleur à eau surchauffée compense la perte de température pendant la circulation. Après le nettoyage, près de 99% de la solution retourne dans le réservoir et seulement 1% env. est évacué. </w:t>
            </w:r>
          </w:p>
          <w:p w14:paraId="6E520EAF" w14:textId="77777777" w:rsidR="000B2687" w:rsidRPr="00477949" w:rsidRDefault="000B2687" w:rsidP="000D4B44">
            <w:pPr>
              <w:pStyle w:val="NummerierteAufzhlung"/>
              <w:numPr>
                <w:ilvl w:val="0"/>
                <w:numId w:val="4"/>
              </w:numPr>
              <w:rPr>
                <w:lang w:val="fr-CH"/>
              </w:rPr>
            </w:pPr>
            <w:r w:rsidRPr="00477949">
              <w:rPr>
                <w:lang w:val="fr-CH"/>
              </w:rPr>
              <w:t>Comme 1, mais via le circuit B.</w:t>
            </w:r>
          </w:p>
          <w:p w14:paraId="5D0A418A" w14:textId="77777777" w:rsidR="000B2687" w:rsidRDefault="000B2687" w:rsidP="000D4B44">
            <w:pPr>
              <w:pStyle w:val="NummerierteAufzhlung"/>
              <w:numPr>
                <w:ilvl w:val="0"/>
                <w:numId w:val="4"/>
              </w:numPr>
              <w:rPr>
                <w:lang w:val="fr-CH"/>
              </w:rPr>
            </w:pPr>
            <w:r w:rsidRPr="00B70AE8">
              <w:rPr>
                <w:lang w:val="fr-CH"/>
              </w:rPr>
              <w:t>Comme 1, mais via le circuit C.</w:t>
            </w:r>
          </w:p>
          <w:p w14:paraId="6D812F9C" w14:textId="77777777" w:rsidR="000B2687" w:rsidRDefault="000B2687" w:rsidP="000D4B44">
            <w:pPr>
              <w:pStyle w:val="NummerierteAufzhlung"/>
              <w:numPr>
                <w:ilvl w:val="0"/>
                <w:numId w:val="4"/>
              </w:numPr>
              <w:rPr>
                <w:lang w:val="fr-CH"/>
              </w:rPr>
            </w:pPr>
            <w:r w:rsidRPr="00B70AE8">
              <w:rPr>
                <w:lang w:val="fr-CH"/>
              </w:rPr>
              <w:t>Comme 1, mais pour le lavage des poids lourds.</w:t>
            </w:r>
          </w:p>
          <w:p w14:paraId="100C63C5" w14:textId="77777777" w:rsidR="000B2687" w:rsidRDefault="000B2687" w:rsidP="000D4B44">
            <w:pPr>
              <w:pStyle w:val="NummerierteAufzhlung"/>
              <w:numPr>
                <w:ilvl w:val="0"/>
                <w:numId w:val="4"/>
              </w:numPr>
              <w:rPr>
                <w:lang w:val="fr-CH"/>
              </w:rPr>
            </w:pPr>
            <w:r w:rsidRPr="00B70AE8">
              <w:rPr>
                <w:lang w:val="fr-CH"/>
              </w:rPr>
              <w:t>Comme 1, mais pour le lavage de la production de fromages.</w:t>
            </w:r>
          </w:p>
          <w:p w14:paraId="465C25DA" w14:textId="77777777" w:rsidR="000B2687" w:rsidRDefault="000B2687" w:rsidP="000D4B44">
            <w:pPr>
              <w:pStyle w:val="NummerierteAufzhlung"/>
              <w:numPr>
                <w:ilvl w:val="0"/>
                <w:numId w:val="4"/>
              </w:numPr>
              <w:rPr>
                <w:lang w:val="fr-CH"/>
              </w:rPr>
            </w:pPr>
            <w:r w:rsidRPr="00B70AE8">
              <w:rPr>
                <w:lang w:val="fr-CH"/>
              </w:rPr>
              <w:t>Comme 6, mais pour le nettoyage de l’installation UHT.</w:t>
            </w:r>
          </w:p>
          <w:p w14:paraId="5824F941" w14:textId="77777777" w:rsidR="000B2687" w:rsidRDefault="000B2687" w:rsidP="000D4B44">
            <w:pPr>
              <w:pStyle w:val="NummerierteAufzhlung"/>
              <w:numPr>
                <w:ilvl w:val="0"/>
                <w:numId w:val="4"/>
              </w:numPr>
              <w:rPr>
                <w:lang w:val="fr-CH"/>
              </w:rPr>
            </w:pPr>
            <w:r w:rsidRPr="00B70AE8">
              <w:rPr>
                <w:lang w:val="fr-CH"/>
              </w:rPr>
              <w:t>Production d’eau chaude utilisée comme eau chaude sanitaire (lavabos), mais aussi et surtout pour alimenter les réservoirs CIP. La puissance moyenne de 170 kW résulte du chauffage d’env. 3’000 l/h d’eau potable de 12 °C à 60 °C.</w:t>
            </w:r>
          </w:p>
          <w:p w14:paraId="1D7B2362" w14:textId="77777777" w:rsidR="000B2687" w:rsidRDefault="000B2687" w:rsidP="000D4B44">
            <w:pPr>
              <w:pStyle w:val="NummerierteAufzhlung"/>
              <w:numPr>
                <w:ilvl w:val="0"/>
                <w:numId w:val="4"/>
              </w:numPr>
              <w:rPr>
                <w:lang w:val="fr-CH"/>
              </w:rPr>
            </w:pPr>
            <w:r w:rsidRPr="00B70AE8">
              <w:rPr>
                <w:lang w:val="fr-CH"/>
              </w:rPr>
              <w:t xml:space="preserve">On a calculé </w:t>
            </w:r>
            <w:r w:rsidRPr="009E29D7">
              <w:rPr>
                <w:lang w:val="fr-CH"/>
              </w:rPr>
              <w:t>le chauffage des bâtiments</w:t>
            </w:r>
            <w:r w:rsidRPr="00B70AE8">
              <w:rPr>
                <w:lang w:val="fr-CH"/>
              </w:rPr>
              <w:t xml:space="preserve"> selon la variante 2 figurant dans le formulaire 5.3.1_Chauffage. On a estimé approximativement les 510 MWh/an selon la norme SIA 380/1 (Qh pour les constructions industrielles de 175 MJ/m</w:t>
            </w:r>
            <w:r w:rsidRPr="00B70AE8">
              <w:rPr>
                <w:vertAlign w:val="superscript"/>
                <w:lang w:val="fr-CH"/>
              </w:rPr>
              <w:t>2</w:t>
            </w:r>
            <w:r w:rsidRPr="00B70AE8">
              <w:rPr>
                <w:lang w:val="fr-CH"/>
              </w:rPr>
              <w:t>) et une surface de référence énergétique de 10’500 m</w:t>
            </w:r>
            <w:r w:rsidRPr="00B70AE8">
              <w:rPr>
                <w:vertAlign w:val="superscript"/>
                <w:lang w:val="fr-CH"/>
              </w:rPr>
              <w:t>2</w:t>
            </w:r>
            <w:r w:rsidRPr="00B70AE8">
              <w:rPr>
                <w:lang w:val="fr-CH"/>
              </w:rPr>
              <w:t xml:space="preserve">. On a défini les degrés-jours pour 2010 et pour 2011 par l’intermédiaire de </w:t>
            </w:r>
            <w:bookmarkStart w:id="131" w:name="_DV_C409"/>
            <w:r w:rsidR="003714FF" w:rsidRPr="00B70AE8">
              <w:rPr>
                <w:rStyle w:val="DeltaViewInsertion"/>
                <w:rFonts w:cs="Arial"/>
                <w:szCs w:val="26"/>
                <w:lang w:val="fr-CH"/>
              </w:rPr>
              <w:fldChar w:fldCharType="begin"/>
            </w:r>
            <w:r w:rsidRPr="00B70AE8">
              <w:rPr>
                <w:rStyle w:val="DeltaViewInsertion"/>
                <w:rFonts w:cs="Arial"/>
                <w:szCs w:val="26"/>
                <w:lang w:val="fr-CH"/>
              </w:rPr>
              <w:instrText xml:space="preserve"> HYPERLINK "http://www.hev-schweiz.ch/vermieten-verwalten/heizgradtage/" </w:instrText>
            </w:r>
            <w:r w:rsidR="003714FF" w:rsidRPr="00B70AE8">
              <w:rPr>
                <w:rStyle w:val="DeltaViewInsertion"/>
                <w:rFonts w:cs="Arial"/>
                <w:szCs w:val="26"/>
                <w:lang w:val="fr-CH"/>
              </w:rPr>
              <w:fldChar w:fldCharType="separate"/>
            </w:r>
            <w:r w:rsidRPr="00B70AE8">
              <w:rPr>
                <w:rStyle w:val="Hyperlink"/>
                <w:rFonts w:cs="Arial"/>
                <w:szCs w:val="26"/>
                <w:lang w:val="fr-CH"/>
              </w:rPr>
              <w:t>http://www.hev-schweiz.ch/vermieten-verwalten/heizgradtage/</w:t>
            </w:r>
            <w:bookmarkEnd w:id="131"/>
            <w:r w:rsidR="003714FF" w:rsidRPr="00B70AE8">
              <w:rPr>
                <w:rStyle w:val="DeltaViewInsertion"/>
                <w:rFonts w:cs="Arial"/>
                <w:szCs w:val="26"/>
                <w:lang w:val="fr-CH"/>
              </w:rPr>
              <w:fldChar w:fldCharType="end"/>
            </w:r>
            <w:r w:rsidRPr="00B70AE8">
              <w:rPr>
                <w:color w:val="C00000"/>
                <w:lang w:val="fr-CH"/>
              </w:rPr>
              <w:t xml:space="preserve"> </w:t>
            </w:r>
            <w:r w:rsidRPr="00B70AE8">
              <w:rPr>
                <w:lang w:val="fr-CH"/>
              </w:rPr>
              <w:t>et le site analysé à Locarno.</w:t>
            </w:r>
          </w:p>
          <w:p w14:paraId="1809283E" w14:textId="77777777" w:rsidR="000B2687" w:rsidRDefault="000B2687" w:rsidP="000D4B44">
            <w:pPr>
              <w:pStyle w:val="NummerierteAufzhlung"/>
              <w:numPr>
                <w:ilvl w:val="0"/>
                <w:numId w:val="4"/>
              </w:numPr>
              <w:rPr>
                <w:lang w:val="fr-CH"/>
              </w:rPr>
            </w:pPr>
            <w:r w:rsidRPr="00B70AE8">
              <w:rPr>
                <w:lang w:val="fr-CH"/>
              </w:rPr>
              <w:t>Utilisation indirecte de la vapeur pour l’installation UHT. Le condensat retourne à la chaudière. On a calculé le contenu énergétique de la vapeur par la différence d’enthalpie de la vapeur saturée (4,5 bars absolus) avec le retour du condensat (90 °C).</w:t>
            </w:r>
          </w:p>
          <w:p w14:paraId="32598A7F" w14:textId="77777777" w:rsidR="000B2687" w:rsidRDefault="000B2687" w:rsidP="000D4B44">
            <w:pPr>
              <w:pStyle w:val="NummerierteAufzhlung"/>
              <w:numPr>
                <w:ilvl w:val="0"/>
                <w:numId w:val="4"/>
              </w:numPr>
              <w:rPr>
                <w:lang w:val="fr-CH"/>
              </w:rPr>
            </w:pPr>
            <w:r w:rsidRPr="00B70AE8">
              <w:rPr>
                <w:lang w:val="fr-CH"/>
              </w:rPr>
              <w:t>Utilisation directe de la vapeur pour la stérilisation. La vapeur se condense dans les conduites/les parties de l’installation à nettoyer et assure ainsi la stérilisation. Le condensat souillé est ensuite évacué à env. 90 °C. On a calculé le contenu énergétique de la vapeur par la différence d’enthalpie de la vapeur saturée (4,5 bars absolus) avec le retour du condensat (90 °C).</w:t>
            </w:r>
          </w:p>
          <w:p w14:paraId="3022F7EA" w14:textId="77777777" w:rsidR="000B2687" w:rsidRDefault="000B2687" w:rsidP="000D4B44">
            <w:pPr>
              <w:pStyle w:val="NummerierteAufzhlung"/>
              <w:numPr>
                <w:ilvl w:val="0"/>
                <w:numId w:val="4"/>
              </w:numPr>
              <w:rPr>
                <w:lang w:val="fr-CH"/>
              </w:rPr>
            </w:pPr>
            <w:r w:rsidRPr="00B70AE8">
              <w:rPr>
                <w:lang w:val="fr-CH"/>
              </w:rPr>
              <w:t>Pasteurisation de 10,0 millions de litres de lait/an de 68 °C en moyenne (après récupération de la chaleur) à 75 °C.</w:t>
            </w:r>
          </w:p>
          <w:p w14:paraId="488D9450" w14:textId="77777777" w:rsidR="000B2687" w:rsidRDefault="000B2687" w:rsidP="000D4B44">
            <w:pPr>
              <w:pStyle w:val="NummerierteAufzhlung"/>
              <w:numPr>
                <w:ilvl w:val="0"/>
                <w:numId w:val="4"/>
              </w:numPr>
              <w:rPr>
                <w:lang w:val="fr-CH"/>
              </w:rPr>
            </w:pPr>
            <w:r w:rsidRPr="00B70AE8">
              <w:rPr>
                <w:lang w:val="fr-CH"/>
              </w:rPr>
              <w:t>Pasteurisation de 0,43 million de litres de crème/an de 75 °C (après récupération de la chaleur) à 95 °C.</w:t>
            </w:r>
          </w:p>
          <w:p w14:paraId="7A7FA5C3" w14:textId="77777777" w:rsidR="000B2687" w:rsidRDefault="000B2687" w:rsidP="000D4B44">
            <w:pPr>
              <w:pStyle w:val="NummerierteAufzhlung"/>
              <w:numPr>
                <w:ilvl w:val="0"/>
                <w:numId w:val="4"/>
              </w:numPr>
              <w:rPr>
                <w:lang w:val="fr-CH"/>
              </w:rPr>
            </w:pPr>
            <w:r w:rsidRPr="00B70AE8">
              <w:rPr>
                <w:lang w:val="fr-CH"/>
              </w:rPr>
              <w:t>Chauffage d’env. 1,4 million de litres de lait/an de 23 °C à 50 °C dans la cuve à fromage 1. On peut effectuer le préchauffage de 4 °C à 23 °C par la récupération de la chaleur (du petit-lait).</w:t>
            </w:r>
          </w:p>
          <w:p w14:paraId="0E072ED7" w14:textId="77777777" w:rsidR="000B2687" w:rsidRDefault="000B2687" w:rsidP="000D4B44">
            <w:pPr>
              <w:pStyle w:val="NummerierteAufzhlung"/>
              <w:numPr>
                <w:ilvl w:val="0"/>
                <w:numId w:val="4"/>
              </w:numPr>
              <w:rPr>
                <w:lang w:val="fr-CH"/>
              </w:rPr>
            </w:pPr>
            <w:r w:rsidRPr="00B70AE8">
              <w:rPr>
                <w:lang w:val="fr-CH"/>
              </w:rPr>
              <w:t>Chauffage d’env. 3,0 millions de litres de lait/an de 4 °C à 39 °C dans la cuve à fromage 2.</w:t>
            </w:r>
          </w:p>
          <w:p w14:paraId="449CB177" w14:textId="77777777" w:rsidR="000B2687" w:rsidRDefault="000B2687" w:rsidP="000D4B44">
            <w:pPr>
              <w:pStyle w:val="NummerierteAufzhlung"/>
              <w:numPr>
                <w:ilvl w:val="0"/>
                <w:numId w:val="4"/>
              </w:numPr>
              <w:rPr>
                <w:lang w:val="fr-CH"/>
              </w:rPr>
            </w:pPr>
            <w:r w:rsidRPr="00B70AE8">
              <w:rPr>
                <w:lang w:val="fr-CH"/>
              </w:rPr>
              <w:t>La vapeur est utilisée dans la production pour le chauffage de différents réchauffeurs polyvalents.</w:t>
            </w:r>
          </w:p>
        </w:tc>
      </w:tr>
      <w:tr w:rsidR="000B2687" w:rsidRPr="00F82B1E" w14:paraId="503CC624" w14:textId="77777777" w:rsidTr="00936B78">
        <w:trPr>
          <w:cantSplit/>
        </w:trPr>
        <w:tc>
          <w:tcPr>
            <w:tcW w:w="2181" w:type="dxa"/>
            <w:shd w:val="clear" w:color="auto" w:fill="F2DBDB"/>
          </w:tcPr>
          <w:p w14:paraId="21951CAF" w14:textId="77777777" w:rsidR="000B2687" w:rsidRDefault="000B2687" w:rsidP="00477949">
            <w:pPr>
              <w:pStyle w:val="Tabellentitel"/>
              <w:ind w:left="0" w:right="0"/>
            </w:pPr>
            <w:r w:rsidRPr="00B70AE8">
              <w:t>Exigences</w:t>
            </w:r>
          </w:p>
        </w:tc>
        <w:tc>
          <w:tcPr>
            <w:tcW w:w="7515" w:type="dxa"/>
            <w:shd w:val="clear" w:color="auto" w:fill="F2DBDB"/>
          </w:tcPr>
          <w:p w14:paraId="707A367F" w14:textId="77777777"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L’énergie utile doit être estimée pour les différents consommateurs, une mesure précise n’est pas nécessaire.</w:t>
            </w:r>
          </w:p>
          <w:p w14:paraId="1B898692" w14:textId="38D6A2D5"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 xml:space="preserve">Expliquer un pourcentage approprié de l’énergie utile définie selon le formulaire 5.2.1. Valeur indicative: les consommateurs devraient pouvoir expliquer env. </w:t>
            </w:r>
            <w:r w:rsidR="00F82B1E">
              <w:t>75</w:t>
            </w:r>
            <w:r w:rsidR="000B2687" w:rsidRPr="00B70AE8">
              <w:t>% de l’énergie utile. Si ce n’est pas possible, il faut en expliquer brièvement la raison à la rubrique «Description générale».</w:t>
            </w:r>
          </w:p>
          <w:p w14:paraId="05FC6031" w14:textId="0FC7E648"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 xml:space="preserve">La valeur indicative de </w:t>
            </w:r>
            <w:r w:rsidR="00F82B1E">
              <w:t>75</w:t>
            </w:r>
            <w:r w:rsidR="000B2687" w:rsidRPr="00B70AE8">
              <w:t>% n’est pas applicable lorsque:</w:t>
            </w:r>
          </w:p>
          <w:p w14:paraId="3E02E06A" w14:textId="77777777" w:rsidR="000B2687" w:rsidRDefault="000B2687" w:rsidP="0072420B">
            <w:pPr>
              <w:pStyle w:val="AuflistungmitCheckbox"/>
              <w:numPr>
                <w:ilvl w:val="0"/>
                <w:numId w:val="32"/>
              </w:numPr>
            </w:pPr>
            <w:r w:rsidRPr="00B70AE8">
              <w:t>il se produit un échange d’énergie entre les vecteurs de distribution (p. ex. de la vapeur à l’eau surchauffée);</w:t>
            </w:r>
          </w:p>
          <w:p w14:paraId="0F680738" w14:textId="77777777" w:rsidR="00477949" w:rsidRDefault="000B2687" w:rsidP="0072420B">
            <w:pPr>
              <w:pStyle w:val="AuflistungmitCheckbox"/>
              <w:numPr>
                <w:ilvl w:val="0"/>
                <w:numId w:val="32"/>
              </w:numPr>
            </w:pPr>
            <w:r w:rsidRPr="00477949">
              <w:t>les vecteurs de distribution ne sont pas seulement chauffés par de l’énergie thermique mais aussi par de l’électricité (pompe à chaleur pour le circuit d’eau chaude, chauffe-eau électrique d’appoint pour la production de vapeur, recompression mécanique de la vapeur pour la production de vapeur, etc.);</w:t>
            </w:r>
            <w:r w:rsidR="00477949">
              <w:br/>
            </w:r>
            <w:r w:rsidRPr="00477949">
              <w:t>les vecteurs de distribution sont aussi chauffés par des rejets de chaleur (p. ex. chaleur rejetée par le four dans le circuit d’eau surchauffée).</w:t>
            </w:r>
          </w:p>
          <w:p w14:paraId="3FE1B036" w14:textId="20006046" w:rsidR="00C93ACD" w:rsidRPr="00477949" w:rsidRDefault="001C3D10" w:rsidP="00C93ACD">
            <w:pPr>
              <w:pStyle w:val="AuflistungmitCheckbox"/>
              <w:numPr>
                <w:ilvl w:val="0"/>
                <w:numId w:val="32"/>
              </w:numPr>
            </w:pPr>
            <w:r>
              <w:t>d</w:t>
            </w:r>
            <w:r w:rsidR="000B2687" w:rsidRPr="00477949">
              <w:t xml:space="preserve">ans ce cas, il faut expliquer autant que possible l’énergie utile consommée sans tenir compte de la valeur indicative de </w:t>
            </w:r>
            <w:r w:rsidR="00F82B1E">
              <w:t>75</w:t>
            </w:r>
            <w:r w:rsidR="000B2687" w:rsidRPr="00477949">
              <w:t>%.</w:t>
            </w:r>
          </w:p>
          <w:p w14:paraId="09296B02" w14:textId="0F2F3492" w:rsidR="00C93ACD" w:rsidRDefault="003714FF" w:rsidP="00D72126">
            <w:pPr>
              <w:pStyle w:val="AuflistungmitCheckbox"/>
              <w:rPr>
                <w:rFonts w:ascii="Wingdings" w:hAnsi="Wingdings"/>
              </w:rPr>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C93ACD">
              <w:t>Pour les conventions d’objectifs universelles, les consommateurs thermiques doivent au moins faire l’objet d’une description qualitative.</w:t>
            </w:r>
          </w:p>
          <w:p w14:paraId="3556DE96" w14:textId="353BC798" w:rsidR="000B2687" w:rsidRDefault="00C93ACD"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Pr="00B70AE8">
              <w:rPr>
                <w:rFonts w:ascii="Wingdings" w:hAnsi="Wingdings"/>
              </w:rPr>
              <w:tab/>
            </w:r>
            <w:r w:rsidR="000B2687" w:rsidRPr="00B70AE8">
              <w:t xml:space="preserve">Il est possible de regrouper des procédés. La consommation d’énergie des procédés/du groupe de procédés doit être en rapport adéquat avec la consommation totale (il n’est p. ex. pas nécessaire de faire l’inventaire de 100 consommateurs représentant chacun 1% de la consommation d’énergie totale; par contre, il ne faut pas constituer un seul groupe de procédés représentant </w:t>
            </w:r>
            <w:r w:rsidR="00F82B1E">
              <w:t>75</w:t>
            </w:r>
            <w:r w:rsidR="000B2687" w:rsidRPr="00B70AE8">
              <w:t>% de la consommation d’énergie totale).</w:t>
            </w:r>
          </w:p>
          <w:p w14:paraId="60A5F828" w14:textId="77777777"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Il faut aussi établir ici la liste des consommateurs de l’énergie transmise par les vecteurs de distribution qui sont indépendants des procédés tels que les turbines à vapeur et p. ex. le cycle organique de Rankine (</w:t>
            </w:r>
            <w:r w:rsidR="000B2687" w:rsidRPr="00B70AE8">
              <w:rPr>
                <w:i/>
              </w:rPr>
              <w:t>Organic Rankine Cycle</w:t>
            </w:r>
            <w:r w:rsidR="000B2687" w:rsidRPr="00B70AE8">
              <w:t xml:space="preserve"> ou ORC) avec leur production d’électricité respective.</w:t>
            </w:r>
          </w:p>
          <w:p w14:paraId="5A2E044D" w14:textId="77777777"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t>Saisir la surface de référence énergétique et annexer un plan de situation (cf. formulaire 5.3.1_Chauffage).</w:t>
            </w:r>
          </w:p>
          <w:p w14:paraId="3267DBC9" w14:textId="77777777"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rPr>
                <w:b/>
              </w:rPr>
              <w:t>Facultatif:</w:t>
            </w:r>
            <w:r w:rsidR="000B2687" w:rsidRPr="00B70AE8">
              <w:t xml:space="preserve"> estimer la consommation mensuelle d’énergie de chauffage à l’aide du formulaire 5.3.1_Chauffage.</w:t>
            </w:r>
          </w:p>
          <w:p w14:paraId="55677161" w14:textId="77777777" w:rsidR="000B2687" w:rsidRDefault="003714FF" w:rsidP="00D72126">
            <w:pPr>
              <w:pStyle w:val="AuflistungmitCheckbox"/>
              <w:rPr>
                <w:b/>
              </w:rPr>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rPr>
                <w:b/>
              </w:rPr>
              <w:t>Facultatif:</w:t>
            </w:r>
            <w:r w:rsidR="000B2687" w:rsidRPr="00B70AE8">
              <w:t xml:space="preserve"> décrire brièvement la fonction des différents consommateurs.</w:t>
            </w:r>
          </w:p>
          <w:p w14:paraId="7C757B63" w14:textId="77777777"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rPr>
                <w:b/>
              </w:rPr>
              <w:t>Facultatif:</w:t>
            </w:r>
            <w:r w:rsidR="000B2687" w:rsidRPr="00B70AE8">
              <w:t xml:space="preserve"> présenter de manière compréhensible l’évaluation de la consommation d’énergie des différentes étapes des procédés.</w:t>
            </w:r>
          </w:p>
          <w:p w14:paraId="420B8D69" w14:textId="77777777" w:rsidR="000B2687"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0B2687"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0B2687" w:rsidRPr="00B70AE8">
              <w:rPr>
                <w:rFonts w:ascii="Wingdings" w:hAnsi="Wingdings"/>
              </w:rPr>
              <w:tab/>
            </w:r>
            <w:r w:rsidR="000B2687" w:rsidRPr="00B70AE8">
              <w:rPr>
                <w:b/>
              </w:rPr>
              <w:t>Facultatif:</w:t>
            </w:r>
            <w:r w:rsidR="000B2687" w:rsidRPr="00B70AE8">
              <w:t xml:space="preserve"> indiquer les exigences de température (c.-à-d. quel niveau de température est requis par le consommateur) et les flux de masse moyens s’ils sont connus et qu’ils n’ont pas déjà été définis au chapitre 5.1.</w:t>
            </w:r>
          </w:p>
        </w:tc>
      </w:tr>
      <w:tr w:rsidR="000B2687" w:rsidRPr="00F82B1E" w14:paraId="71B7A4C3" w14:textId="77777777" w:rsidTr="00936B78">
        <w:trPr>
          <w:cantSplit/>
        </w:trPr>
        <w:tc>
          <w:tcPr>
            <w:tcW w:w="2181" w:type="dxa"/>
            <w:shd w:val="clear" w:color="auto" w:fill="F2F2F2"/>
          </w:tcPr>
          <w:p w14:paraId="468A3A7B" w14:textId="77777777" w:rsidR="000B2687" w:rsidRDefault="000B2687" w:rsidP="00477949">
            <w:pPr>
              <w:pStyle w:val="Tabellentitel"/>
              <w:ind w:left="0" w:right="0"/>
            </w:pPr>
            <w:r w:rsidRPr="00B70AE8">
              <w:t>Aide</w:t>
            </w:r>
          </w:p>
        </w:tc>
        <w:tc>
          <w:tcPr>
            <w:tcW w:w="7515" w:type="dxa"/>
            <w:shd w:val="clear" w:color="auto" w:fill="F2F2F2"/>
          </w:tcPr>
          <w:p w14:paraId="3FF24DA3" w14:textId="77777777" w:rsidR="000B2687" w:rsidRDefault="000B2687" w:rsidP="00D72126">
            <w:pPr>
              <w:pStyle w:val="AuflistungHilfestellung"/>
            </w:pPr>
            <w:r w:rsidRPr="00B70AE8">
              <w:t xml:space="preserve">Pour avoir une vue d’ensemble, l’énergie utile requise pour les différents consommateurs est comparée dans le formulaire 5.3.1 avec l’énergie utile relevée dans le formulaire 4.1. </w:t>
            </w:r>
          </w:p>
          <w:p w14:paraId="4D992E98" w14:textId="77777777" w:rsidR="000B2687" w:rsidRDefault="000B2687" w:rsidP="00D72126">
            <w:pPr>
              <w:pStyle w:val="AuflistungHilfestellung"/>
            </w:pPr>
            <w:r w:rsidRPr="00B70AE8">
              <w:t>L’énergie utile peut, entre autres, être calculée des façons suivantes:</w:t>
            </w:r>
          </w:p>
          <w:p w14:paraId="089D68E5" w14:textId="77777777" w:rsidR="000B2687" w:rsidRDefault="000B2687" w:rsidP="0072420B">
            <w:pPr>
              <w:pStyle w:val="AuflistungHilfestellung"/>
              <w:numPr>
                <w:ilvl w:val="0"/>
                <w:numId w:val="33"/>
              </w:numPr>
            </w:pPr>
            <w:r w:rsidRPr="00B70AE8">
              <w:t>Evaluation fondée sur les conditions des procédés, soit la température d’entrée, la température de sortie, le flux de masse, la capacité thermique du produit, les heures de fonctionnement par an.</w:t>
            </w:r>
          </w:p>
          <w:p w14:paraId="19CDCD58" w14:textId="77777777" w:rsidR="000B2687" w:rsidRDefault="000B2687" w:rsidP="0072420B">
            <w:pPr>
              <w:pStyle w:val="AuflistungHilfestellung"/>
              <w:numPr>
                <w:ilvl w:val="0"/>
                <w:numId w:val="33"/>
              </w:numPr>
            </w:pPr>
            <w:r w:rsidRPr="00B70AE8">
              <w:t>Evaluation fondée sur l’utilisation de l’énergie de chauffage, soit la température aller et la température retour, le flux de masse, la capacité thermique du produit, les heures de fonctionnement par an.</w:t>
            </w:r>
          </w:p>
          <w:p w14:paraId="074B6CA2" w14:textId="77777777" w:rsidR="000B2687" w:rsidRDefault="000B2687" w:rsidP="0072420B">
            <w:pPr>
              <w:pStyle w:val="AuflistungHilfestellung"/>
              <w:numPr>
                <w:ilvl w:val="0"/>
                <w:numId w:val="33"/>
              </w:numPr>
            </w:pPr>
            <w:r w:rsidRPr="00B70AE8">
              <w:t>Evaluation fondée sur les puissances installées des échangeurs de chaleur, sur la charge partielle (estimée) et sur les heures de fonctionnement par an.</w:t>
            </w:r>
          </w:p>
          <w:p w14:paraId="73933726" w14:textId="77777777" w:rsidR="000B2687" w:rsidRDefault="000B2687" w:rsidP="00D72126">
            <w:pPr>
              <w:pStyle w:val="AuflistungHilfestellung"/>
            </w:pPr>
            <w:r w:rsidRPr="00B70AE8">
              <w:t>Le formulaire 5.3.1_Chauffage est à votre disposition pour évaluer l’énergie de chauffage sur une base mensuelle.</w:t>
            </w:r>
          </w:p>
        </w:tc>
      </w:tr>
    </w:tbl>
    <w:p w14:paraId="2D38C5B3" w14:textId="77777777" w:rsidR="00293C0D" w:rsidRPr="000B2687" w:rsidRDefault="00544A0F" w:rsidP="00401BD0">
      <w:pPr>
        <w:pStyle w:val="berschrift3"/>
        <w:rPr>
          <w:lang w:val="fr-CH"/>
        </w:rPr>
      </w:pPr>
      <w:r w:rsidRPr="000B2687">
        <w:rPr>
          <w:lang w:val="fr-CH"/>
        </w:rPr>
        <w:br w:type="page"/>
      </w:r>
      <w:bookmarkStart w:id="132" w:name="_Toc347303584"/>
      <w:bookmarkStart w:id="133" w:name="_Toc347853269"/>
      <w:bookmarkStart w:id="134" w:name="_Toc354127718"/>
      <w:bookmarkStart w:id="135" w:name="_Toc421696284"/>
      <w:r w:rsidR="000B2687" w:rsidRPr="000B2687">
        <w:rPr>
          <w:lang w:val="fr-CH"/>
        </w:rPr>
        <w:t>Electricité (compresseurs à air comprimé, autres consommateurs d’électricité</w:t>
      </w:r>
      <w:bookmarkEnd w:id="132"/>
      <w:bookmarkEnd w:id="133"/>
      <w:bookmarkEnd w:id="134"/>
      <w:r w:rsidR="00A270A2">
        <w:rPr>
          <w:lang w:val="fr-CH"/>
        </w:rPr>
        <w:t>)</w:t>
      </w:r>
      <w:bookmarkEnd w:id="135"/>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A270A2" w:rsidRPr="00F82B1E" w14:paraId="479A8AD6" w14:textId="77777777" w:rsidTr="00A270A2">
        <w:trPr>
          <w:cantSplit/>
        </w:trPr>
        <w:tc>
          <w:tcPr>
            <w:tcW w:w="2181" w:type="dxa"/>
            <w:tcBorders>
              <w:bottom w:val="single" w:sz="4" w:space="0" w:color="auto"/>
            </w:tcBorders>
            <w:shd w:val="clear" w:color="auto" w:fill="F2F2F2"/>
          </w:tcPr>
          <w:p w14:paraId="76053D6A" w14:textId="77777777" w:rsidR="00A270A2" w:rsidRDefault="00A270A2" w:rsidP="00C7210A">
            <w:pPr>
              <w:pStyle w:val="Tabellentitel"/>
              <w:ind w:left="0" w:right="0"/>
            </w:pPr>
            <w:r w:rsidRPr="00B70AE8">
              <w:t>Introduction</w:t>
            </w:r>
          </w:p>
        </w:tc>
        <w:tc>
          <w:tcPr>
            <w:tcW w:w="7515" w:type="dxa"/>
            <w:tcBorders>
              <w:bottom w:val="single" w:sz="4" w:space="0" w:color="auto"/>
            </w:tcBorders>
            <w:shd w:val="clear" w:color="auto" w:fill="F2F2F2"/>
          </w:tcPr>
          <w:p w14:paraId="42120019" w14:textId="07956FEA" w:rsidR="00A270A2" w:rsidRPr="00A270A2" w:rsidRDefault="00A270A2" w:rsidP="00C7210A">
            <w:pPr>
              <w:ind w:left="0" w:right="0"/>
              <w:rPr>
                <w:lang w:val="fr-CH"/>
              </w:rPr>
            </w:pPr>
            <w:r w:rsidRPr="00A270A2">
              <w:rPr>
                <w:lang w:val="fr-CH"/>
              </w:rPr>
              <w:t xml:space="preserve">Le tableau ci-après donne un aperçu des </w:t>
            </w:r>
            <w:r w:rsidR="00AE7B3C">
              <w:rPr>
                <w:lang w:val="fr-CH"/>
              </w:rPr>
              <w:t xml:space="preserve">plus grands </w:t>
            </w:r>
            <w:r w:rsidRPr="00A270A2">
              <w:rPr>
                <w:lang w:val="fr-CH"/>
              </w:rPr>
              <w:t>consommateurs d’électricité installés (à l’exception des machines frigorifiques décrites au chapitre 5.2.2). Il contient des consommateurs d’électricité tels que les compresseurs à air comprimé, la climatisation décentralisée, l’aération, l’informatique, l’éclairage, les entraînements mécaniques et d’autres grands consommateurs d’électricité.</w:t>
            </w:r>
          </w:p>
        </w:tc>
      </w:tr>
      <w:tr w:rsidR="005339F8" w:rsidRPr="00F82B1E" w14:paraId="3223B217" w14:textId="77777777" w:rsidTr="00A270A2">
        <w:trPr>
          <w:cantSplit/>
        </w:trPr>
        <w:tc>
          <w:tcPr>
            <w:tcW w:w="9696" w:type="dxa"/>
            <w:gridSpan w:val="2"/>
            <w:tcBorders>
              <w:bottom w:val="single" w:sz="4" w:space="0" w:color="auto"/>
            </w:tcBorders>
          </w:tcPr>
          <w:p w14:paraId="0ECCFFB9" w14:textId="77777777" w:rsidR="005339F8" w:rsidRPr="00936B78" w:rsidRDefault="00C47AA9" w:rsidP="00C7210A">
            <w:pPr>
              <w:pStyle w:val="Bild"/>
              <w:ind w:left="0" w:right="0"/>
            </w:pPr>
            <w:r>
              <w:drawing>
                <wp:inline distT="0" distB="0" distL="0" distR="0" wp14:anchorId="4AB76EB7" wp14:editId="7A1F3EF0">
                  <wp:extent cx="6085205" cy="3121660"/>
                  <wp:effectExtent l="1905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srcRect/>
                          <a:stretch>
                            <a:fillRect/>
                          </a:stretch>
                        </pic:blipFill>
                        <pic:spPr bwMode="auto">
                          <a:xfrm>
                            <a:off x="0" y="0"/>
                            <a:ext cx="6085205" cy="3121660"/>
                          </a:xfrm>
                          <a:prstGeom prst="rect">
                            <a:avLst/>
                          </a:prstGeom>
                          <a:noFill/>
                          <a:ln w="9525">
                            <a:noFill/>
                            <a:miter lim="800000"/>
                            <a:headEnd/>
                            <a:tailEnd/>
                          </a:ln>
                        </pic:spPr>
                      </pic:pic>
                    </a:graphicData>
                  </a:graphic>
                </wp:inline>
              </w:drawing>
            </w:r>
          </w:p>
          <w:p w14:paraId="697B16B9" w14:textId="77777777" w:rsidR="005339F8" w:rsidRPr="00A270A2" w:rsidRDefault="00757FB5" w:rsidP="00757FB5">
            <w:pPr>
              <w:pStyle w:val="BildTabellenbeschriftung"/>
            </w:pPr>
            <w:bookmarkStart w:id="136" w:name="_Toc421696313"/>
            <w:r w:rsidRPr="00B70AE8">
              <w:t xml:space="preserve">Tableau </w:t>
            </w:r>
            <w:r w:rsidR="00AE6C37">
              <w:fldChar w:fldCharType="begin"/>
            </w:r>
            <w:r w:rsidR="00AE6C37">
              <w:instrText xml:space="preserve"> SEQ Tabelle \* ARABIC </w:instrText>
            </w:r>
            <w:r w:rsidR="00AE6C37">
              <w:fldChar w:fldCharType="separate"/>
            </w:r>
            <w:r w:rsidR="00FD6355">
              <w:t>17</w:t>
            </w:r>
            <w:r w:rsidR="00AE6C37">
              <w:fldChar w:fldCharType="end"/>
            </w:r>
            <w:r w:rsidRPr="00A270A2">
              <w:t xml:space="preserve"> </w:t>
            </w:r>
            <w:r w:rsidR="00A270A2" w:rsidRPr="00A270A2">
              <w:t>(compresseurs à air comprimé et autres grands consommateurs d’électricité)</w:t>
            </w:r>
            <w:bookmarkEnd w:id="136"/>
          </w:p>
        </w:tc>
      </w:tr>
      <w:tr w:rsidR="00861BFA" w:rsidRPr="00F82B1E" w14:paraId="658A9A41" w14:textId="77777777" w:rsidTr="00A270A2">
        <w:trPr>
          <w:cantSplit/>
        </w:trPr>
        <w:tc>
          <w:tcPr>
            <w:tcW w:w="9696" w:type="dxa"/>
            <w:gridSpan w:val="2"/>
            <w:tcBorders>
              <w:bottom w:val="single" w:sz="4" w:space="0" w:color="auto"/>
            </w:tcBorders>
          </w:tcPr>
          <w:p w14:paraId="1E73F200" w14:textId="77777777" w:rsidR="00861BFA" w:rsidRPr="00C7210A" w:rsidRDefault="00C47AA9" w:rsidP="00C7210A">
            <w:pPr>
              <w:pStyle w:val="Bild"/>
              <w:ind w:left="0" w:right="0"/>
              <w:rPr>
                <w:lang w:val="fr-CH"/>
              </w:rPr>
            </w:pPr>
            <w:r>
              <w:drawing>
                <wp:inline distT="0" distB="0" distL="0" distR="0" wp14:anchorId="1BBE82F0" wp14:editId="76B1ED80">
                  <wp:extent cx="3232150" cy="2191385"/>
                  <wp:effectExtent l="19050" t="0" r="635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cstate="print"/>
                          <a:srcRect/>
                          <a:stretch>
                            <a:fillRect/>
                          </a:stretch>
                        </pic:blipFill>
                        <pic:spPr bwMode="auto">
                          <a:xfrm>
                            <a:off x="0" y="0"/>
                            <a:ext cx="3232150" cy="2191385"/>
                          </a:xfrm>
                          <a:prstGeom prst="rect">
                            <a:avLst/>
                          </a:prstGeom>
                          <a:noFill/>
                          <a:ln w="9525">
                            <a:noFill/>
                            <a:miter lim="800000"/>
                            <a:headEnd/>
                            <a:tailEnd/>
                          </a:ln>
                        </pic:spPr>
                      </pic:pic>
                    </a:graphicData>
                  </a:graphic>
                </wp:inline>
              </w:drawing>
            </w:r>
          </w:p>
          <w:p w14:paraId="6117B514" w14:textId="77777777" w:rsidR="00861BFA" w:rsidRPr="00A270A2" w:rsidRDefault="00E8448C" w:rsidP="00F16C61">
            <w:pPr>
              <w:pStyle w:val="BildTabellenbeschriftung"/>
            </w:pPr>
            <w:bookmarkStart w:id="137" w:name="_Toc421696295"/>
            <w:r w:rsidRPr="00753B0A">
              <w:t>Illustration</w:t>
            </w:r>
            <w:r w:rsidRPr="00B70AE8">
              <w:t xml:space="preserve"> </w:t>
            </w:r>
            <w:r w:rsidR="003714FF">
              <w:rPr>
                <w:noProof w:val="0"/>
              </w:rPr>
              <w:fldChar w:fldCharType="begin"/>
            </w:r>
            <w:r>
              <w:rPr>
                <w:noProof w:val="0"/>
              </w:rPr>
              <w:instrText xml:space="preserve"> SEQ Abbildung \* ARABIC </w:instrText>
            </w:r>
            <w:r w:rsidR="003714FF">
              <w:rPr>
                <w:noProof w:val="0"/>
              </w:rPr>
              <w:fldChar w:fldCharType="separate"/>
            </w:r>
            <w:r w:rsidR="00FD6355">
              <w:t>5</w:t>
            </w:r>
            <w:r w:rsidR="003714FF">
              <w:rPr>
                <w:noProof w:val="0"/>
              </w:rPr>
              <w:fldChar w:fldCharType="end"/>
            </w:r>
            <w:r w:rsidRPr="00A270A2">
              <w:t xml:space="preserve"> </w:t>
            </w:r>
            <w:r w:rsidR="00A270A2" w:rsidRPr="00A270A2">
              <w:t>(compresseurs à air comprimé – consommation d’électricité et rejets de chaleur)</w:t>
            </w:r>
            <w:bookmarkEnd w:id="137"/>
          </w:p>
        </w:tc>
      </w:tr>
      <w:tr w:rsidR="00A270A2" w:rsidRPr="00936B78" w14:paraId="6920F688" w14:textId="77777777" w:rsidTr="00A270A2">
        <w:trPr>
          <w:cantSplit/>
        </w:trPr>
        <w:tc>
          <w:tcPr>
            <w:tcW w:w="2181" w:type="dxa"/>
          </w:tcPr>
          <w:p w14:paraId="114C8F3A" w14:textId="77777777" w:rsidR="00A270A2" w:rsidRDefault="00A270A2" w:rsidP="00C7210A">
            <w:pPr>
              <w:pStyle w:val="Tabellentitel"/>
              <w:ind w:left="0" w:right="0"/>
            </w:pPr>
            <w:r w:rsidRPr="00B70AE8">
              <w:t>Description générale</w:t>
            </w:r>
          </w:p>
        </w:tc>
        <w:tc>
          <w:tcPr>
            <w:tcW w:w="7515" w:type="dxa"/>
            <w:tcBorders>
              <w:bottom w:val="single" w:sz="4" w:space="0" w:color="auto"/>
            </w:tcBorders>
            <w:shd w:val="clear" w:color="auto" w:fill="B9DAFF"/>
          </w:tcPr>
          <w:p w14:paraId="411F4EDB" w14:textId="77777777" w:rsidR="00A270A2" w:rsidRDefault="00A270A2" w:rsidP="00C7210A">
            <w:pPr>
              <w:ind w:left="340" w:right="0" w:hanging="340"/>
            </w:pPr>
            <w:r w:rsidRPr="00B70AE8">
              <w:t xml:space="preserve">Aucune. </w:t>
            </w:r>
          </w:p>
        </w:tc>
      </w:tr>
      <w:tr w:rsidR="00A270A2" w:rsidRPr="00F82B1E" w14:paraId="3DC28531" w14:textId="77777777" w:rsidTr="00A270A2">
        <w:trPr>
          <w:cantSplit/>
        </w:trPr>
        <w:tc>
          <w:tcPr>
            <w:tcW w:w="2181" w:type="dxa"/>
          </w:tcPr>
          <w:p w14:paraId="309EAA7B" w14:textId="77777777" w:rsidR="00A270A2" w:rsidRDefault="00A270A2" w:rsidP="00C7210A">
            <w:pPr>
              <w:pStyle w:val="Tabellentitel"/>
              <w:ind w:left="0" w:right="0"/>
            </w:pPr>
            <w:r w:rsidRPr="00B70AE8">
              <w:t xml:space="preserve">Description des </w:t>
            </w:r>
            <w:r w:rsidRPr="00B70AE8">
              <w:br/>
              <w:t xml:space="preserve">différents points: </w:t>
            </w:r>
          </w:p>
        </w:tc>
        <w:tc>
          <w:tcPr>
            <w:tcW w:w="7515" w:type="dxa"/>
            <w:shd w:val="clear" w:color="auto" w:fill="B9DAFF"/>
          </w:tcPr>
          <w:p w14:paraId="51FEF9D0" w14:textId="77777777" w:rsidR="00A270A2" w:rsidRPr="00AE6672" w:rsidRDefault="00A270A2" w:rsidP="000D4B44">
            <w:pPr>
              <w:pStyle w:val="NummerierteAufzhlung"/>
              <w:numPr>
                <w:ilvl w:val="0"/>
                <w:numId w:val="21"/>
              </w:numPr>
              <w:spacing w:after="0"/>
              <w:rPr>
                <w:lang w:val="fr-CH"/>
              </w:rPr>
            </w:pPr>
            <w:r w:rsidRPr="00AE6672">
              <w:rPr>
                <w:lang w:val="fr-CH"/>
              </w:rPr>
              <w:t xml:space="preserve">Le réglage des deux compresseurs à air comprimé s’effectue via un convertisseur de fréquence: ils fonctionnent soit alternativement soit simultanément (pilotage automatique). </w:t>
            </w:r>
          </w:p>
        </w:tc>
      </w:tr>
      <w:tr w:rsidR="00A270A2" w:rsidRPr="00F82B1E" w14:paraId="1E73C28C" w14:textId="77777777" w:rsidTr="00A270A2">
        <w:trPr>
          <w:cantSplit/>
        </w:trPr>
        <w:tc>
          <w:tcPr>
            <w:tcW w:w="2181" w:type="dxa"/>
            <w:shd w:val="clear" w:color="auto" w:fill="F2DBDB"/>
          </w:tcPr>
          <w:p w14:paraId="6A7C8077" w14:textId="77777777" w:rsidR="00A270A2" w:rsidRDefault="00A270A2" w:rsidP="00C7210A">
            <w:pPr>
              <w:pStyle w:val="Tabellentitel"/>
              <w:ind w:left="0" w:right="0"/>
            </w:pPr>
            <w:r w:rsidRPr="00B70AE8">
              <w:t>Exigences</w:t>
            </w:r>
          </w:p>
        </w:tc>
        <w:tc>
          <w:tcPr>
            <w:tcW w:w="7515" w:type="dxa"/>
            <w:shd w:val="clear" w:color="auto" w:fill="F2DBDB"/>
          </w:tcPr>
          <w:p w14:paraId="45594300"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bookmarkStart w:id="138" w:name="Kontrollkästchen3"/>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bookmarkEnd w:id="138"/>
            <w:r w:rsidR="00A270A2" w:rsidRPr="00B70AE8">
              <w:rPr>
                <w:rFonts w:ascii="Wingdings" w:hAnsi="Wingdings"/>
              </w:rPr>
              <w:tab/>
            </w:r>
            <w:r w:rsidR="00A270A2" w:rsidRPr="00B70AE8">
              <w:t>Dresser la liste des compresseurs à air comprimé car ils sont importants pour l’utilisation des rejets de chaleur. Le temps de fonctionnement à pleine charge peut être estimé très approximativement.</w:t>
            </w:r>
          </w:p>
          <w:p w14:paraId="0C6C34D0" w14:textId="2C6F9230" w:rsidR="00A270A2" w:rsidRDefault="003714FF" w:rsidP="00D72126">
            <w:pPr>
              <w:pStyle w:val="AuflistungmitCheckbox"/>
            </w:pPr>
            <w:r w:rsidRPr="00B70AE8">
              <w:rPr>
                <w:rFonts w:ascii="Wingdings" w:hAnsi="Wingdings"/>
                <w:highlight w:val="lightGray"/>
              </w:rPr>
              <w:fldChar w:fldCharType="begin">
                <w:ffData>
                  <w:name w:val="Kontrollkästchen2"/>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Pour les entreprises qui soumettent une demande d’exemption de la taxe sur le CO</w:t>
            </w:r>
            <w:r w:rsidR="00A270A2" w:rsidRPr="00B70AE8">
              <w:rPr>
                <w:vertAlign w:val="subscript"/>
              </w:rPr>
              <w:t>2</w:t>
            </w:r>
            <w:r w:rsidR="00A270A2" w:rsidRPr="00B70AE8">
              <w:t>, les autres consommateurs d’électricité ne</w:t>
            </w:r>
            <w:r w:rsidR="001C3D10">
              <w:t xml:space="preserve"> sont pas pertinents pour l’</w:t>
            </w:r>
            <w:r w:rsidR="00A270A2" w:rsidRPr="00B70AE8">
              <w:t xml:space="preserve">engagement: il leur est cependant vivement recommandé de remplir ce chapitre. </w:t>
            </w:r>
          </w:p>
          <w:p w14:paraId="2E32D2ED" w14:textId="77777777" w:rsidR="00A270A2" w:rsidRDefault="00A270A2" w:rsidP="000073BF">
            <w:pPr>
              <w:pStyle w:val="AuflistungmitCheckbox"/>
              <w:numPr>
                <w:ilvl w:val="0"/>
                <w:numId w:val="34"/>
              </w:numPr>
            </w:pPr>
            <w:r w:rsidRPr="00B70AE8">
              <w:t>Une liste d’inventaire des principaux consommateurs d’électricité constitue une base importante pour de futures mesures de réduction de la consommation d’électricité.</w:t>
            </w:r>
          </w:p>
          <w:p w14:paraId="1F34A776" w14:textId="77777777" w:rsidR="00A270A2" w:rsidRDefault="00A270A2" w:rsidP="000073BF">
            <w:pPr>
              <w:pStyle w:val="AuflistungmitCheckbox"/>
              <w:numPr>
                <w:ilvl w:val="0"/>
                <w:numId w:val="34"/>
              </w:numPr>
            </w:pPr>
            <w:r w:rsidRPr="00B70AE8">
              <w:t>Les grands consommateurs suivants devraient être saisis: chauffages électriques, ventilateurs d’aération, pompes de circulation, recompression mécanique de la vapeur et autres grands moteurs électriques.</w:t>
            </w:r>
          </w:p>
          <w:p w14:paraId="522CC422" w14:textId="77777777" w:rsidR="00AE7B3C" w:rsidRDefault="00AE7B3C" w:rsidP="009E29D7">
            <w:pPr>
              <w:pStyle w:val="AuflistungmitCheckbox"/>
            </w:pPr>
            <w:r w:rsidRPr="009E29D7">
              <w:rPr>
                <w:rFonts w:ascii="Wingdings" w:hAnsi="Wingdings"/>
              </w:rPr>
              <w:fldChar w:fldCharType="begin">
                <w:ffData>
                  <w:name w:val="Kontrollkästchen2"/>
                  <w:enabled/>
                  <w:calcOnExit w:val="0"/>
                  <w:checkBox>
                    <w:sizeAuto/>
                    <w:default w:val="0"/>
                  </w:checkBox>
                </w:ffData>
              </w:fldChar>
            </w:r>
            <w:r w:rsidRPr="006D3D2D">
              <w:rPr>
                <w:rFonts w:ascii="Wingdings" w:hAnsi="Wingdings"/>
              </w:rPr>
              <w:instrText xml:space="preserve"> FORMCHECKBOX </w:instrText>
            </w:r>
            <w:r w:rsidR="00584FFB">
              <w:rPr>
                <w:rFonts w:ascii="Wingdings" w:hAnsi="Wingdings"/>
              </w:rPr>
            </w:r>
            <w:r w:rsidR="00584FFB">
              <w:rPr>
                <w:rFonts w:ascii="Wingdings" w:hAnsi="Wingdings"/>
              </w:rPr>
              <w:fldChar w:fldCharType="separate"/>
            </w:r>
            <w:r w:rsidRPr="009E29D7">
              <w:rPr>
                <w:rFonts w:ascii="Wingdings" w:hAnsi="Wingdings"/>
              </w:rPr>
              <w:fldChar w:fldCharType="end"/>
            </w:r>
            <w:r w:rsidRPr="00B70AE8">
              <w:rPr>
                <w:rFonts w:ascii="Wingdings" w:hAnsi="Wingdings"/>
              </w:rPr>
              <w:tab/>
            </w:r>
            <w:r w:rsidRPr="00B70AE8">
              <w:t>Pour les entreprises qui</w:t>
            </w:r>
            <w:r>
              <w:t xml:space="preserve"> souhaitent obtenir un remboursement du supplément, au moins 75% des consommateurs d’électricité doivent faire l’objet d’une description quantitative (liste ou texte).</w:t>
            </w:r>
          </w:p>
          <w:p w14:paraId="6ED28CE3" w14:textId="07C2DF98" w:rsidR="00AE7B3C" w:rsidRDefault="00AE7B3C" w:rsidP="009E29D7">
            <w:pPr>
              <w:pStyle w:val="AuflistungmitCheckbox"/>
            </w:pPr>
            <w:r w:rsidRPr="0043294D">
              <w:rPr>
                <w:rFonts w:ascii="Wingdings" w:hAnsi="Wingdings"/>
              </w:rPr>
              <w:fldChar w:fldCharType="begin">
                <w:ffData>
                  <w:name w:val="Kontrollkästchen2"/>
                  <w:enabled/>
                  <w:calcOnExit w:val="0"/>
                  <w:checkBox>
                    <w:sizeAuto/>
                    <w:default w:val="0"/>
                  </w:checkBox>
                </w:ffData>
              </w:fldChar>
            </w:r>
            <w:r w:rsidRPr="0043294D">
              <w:rPr>
                <w:rFonts w:ascii="Wingdings" w:hAnsi="Wingdings"/>
              </w:rPr>
              <w:instrText xml:space="preserve"> FORMCHECKBOX </w:instrText>
            </w:r>
            <w:r w:rsidR="00584FFB">
              <w:rPr>
                <w:rFonts w:ascii="Wingdings" w:hAnsi="Wingdings"/>
              </w:rPr>
            </w:r>
            <w:r w:rsidR="00584FFB">
              <w:rPr>
                <w:rFonts w:ascii="Wingdings" w:hAnsi="Wingdings"/>
              </w:rPr>
              <w:fldChar w:fldCharType="separate"/>
            </w:r>
            <w:r w:rsidRPr="0043294D">
              <w:rPr>
                <w:rFonts w:ascii="Wingdings" w:hAnsi="Wingdings"/>
              </w:rPr>
              <w:fldChar w:fldCharType="end"/>
            </w:r>
            <w:r w:rsidRPr="00B70AE8">
              <w:rPr>
                <w:rFonts w:ascii="Wingdings" w:hAnsi="Wingdings"/>
              </w:rPr>
              <w:tab/>
            </w:r>
            <w:r>
              <w:t>Pour les conventions d’objectifs universelles, les consommateurs d’électricité doivent au moins faire l’objet d’une description qualitative.</w:t>
            </w:r>
          </w:p>
        </w:tc>
      </w:tr>
      <w:tr w:rsidR="00A270A2" w:rsidRPr="00F82B1E" w14:paraId="29EDA52C" w14:textId="77777777" w:rsidTr="00A270A2">
        <w:trPr>
          <w:cantSplit/>
        </w:trPr>
        <w:tc>
          <w:tcPr>
            <w:tcW w:w="2181" w:type="dxa"/>
            <w:shd w:val="clear" w:color="auto" w:fill="F2F2F2"/>
          </w:tcPr>
          <w:p w14:paraId="59FB45DB" w14:textId="77777777" w:rsidR="00A270A2" w:rsidRDefault="00A270A2" w:rsidP="00C7210A">
            <w:pPr>
              <w:pStyle w:val="Tabellentitel"/>
              <w:ind w:left="0" w:right="0"/>
            </w:pPr>
            <w:r w:rsidRPr="00B70AE8">
              <w:t>Aide</w:t>
            </w:r>
          </w:p>
        </w:tc>
        <w:tc>
          <w:tcPr>
            <w:tcW w:w="7515" w:type="dxa"/>
            <w:shd w:val="clear" w:color="auto" w:fill="F2F2F2"/>
          </w:tcPr>
          <w:p w14:paraId="17B3C9F6" w14:textId="77777777" w:rsidR="00A270A2" w:rsidRDefault="00A270A2" w:rsidP="00D72126">
            <w:pPr>
              <w:pStyle w:val="AuflistungHilfestellung"/>
            </w:pPr>
            <w:r w:rsidRPr="00B70AE8">
              <w:t xml:space="preserve">Le site </w:t>
            </w:r>
            <w:hyperlink r:id="rId47" w:history="1">
              <w:r>
                <w:rPr>
                  <w:rStyle w:val="Hyperlink"/>
                </w:rPr>
                <w:t>www.druckluft.ch</w:t>
              </w:r>
            </w:hyperlink>
            <w:r w:rsidRPr="00B70AE8">
              <w:t xml:space="preserve"> (aussi disponible en français) présente une multitude d’informations sur la production de l’air comprimé et sur les possibilités d’économiser des coûts d’exploitation. Vous y trouvez notamment différents outils servant à estimer la récupération de chaleur ou à calculer les fuites.</w:t>
            </w:r>
          </w:p>
          <w:p w14:paraId="6757AF51" w14:textId="77777777" w:rsidR="00A270A2" w:rsidRDefault="00A270A2" w:rsidP="00D72126">
            <w:pPr>
              <w:pStyle w:val="AuflistungHilfestellung"/>
            </w:pPr>
            <w:r w:rsidRPr="00B70AE8">
              <w:t xml:space="preserve">Le site </w:t>
            </w:r>
            <w:hyperlink r:id="rId48" w:history="1">
              <w:r>
                <w:rPr>
                  <w:rStyle w:val="Hyperlink"/>
                </w:rPr>
                <w:t>www.topmotors.ch</w:t>
              </w:r>
            </w:hyperlink>
            <w:r w:rsidRPr="00B70AE8">
              <w:t xml:space="preserve"> (aussi disponible en français) présente une multitude d’informations sur les entraînements électriques et sur les possibilités d’économiser des coûts d’exploitation. Vous y trouvez notamment des informations pour réaliser une analyse rapide de tous les moteurs au sein d’une entreprise (analyse grossière), pour élaborer des plans d’investissement en vue d’améliorer l’efficacité (analyse fine) et différents outils et banques de données utiles. Si vous effectuez une analyse avec cet outil, vous pouvez joindre la liste des moteurs et les résultats de l’analyse à la demande.</w:t>
            </w:r>
          </w:p>
        </w:tc>
      </w:tr>
    </w:tbl>
    <w:p w14:paraId="1CE64E4C" w14:textId="77777777" w:rsidR="00293C0D" w:rsidRPr="00B4595A" w:rsidRDefault="005339F8" w:rsidP="000073BF">
      <w:pPr>
        <w:pStyle w:val="berschrift2"/>
      </w:pPr>
      <w:r w:rsidRPr="00B4595A">
        <w:br w:type="page"/>
      </w:r>
      <w:bookmarkStart w:id="139" w:name="_Toc347303585"/>
      <w:bookmarkStart w:id="140" w:name="_Toc347853270"/>
      <w:bookmarkStart w:id="141" w:name="_Toc354127719"/>
      <w:bookmarkStart w:id="142" w:name="_Toc421696285"/>
      <w:r w:rsidR="00A270A2" w:rsidRPr="00B70AE8">
        <w:t>Relevé du potentiel des rejets de chaleur</w:t>
      </w:r>
      <w:bookmarkEnd w:id="139"/>
      <w:bookmarkEnd w:id="140"/>
      <w:bookmarkEnd w:id="141"/>
      <w:bookmarkEnd w:id="142"/>
      <w:r w:rsidR="00A270A2">
        <w:t xml:space="preserve"> </w:t>
      </w:r>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A270A2" w:rsidRPr="00F82B1E" w14:paraId="341D2A2A" w14:textId="77777777" w:rsidTr="00A270A2">
        <w:trPr>
          <w:cantSplit/>
        </w:trPr>
        <w:tc>
          <w:tcPr>
            <w:tcW w:w="2181" w:type="dxa"/>
            <w:tcBorders>
              <w:bottom w:val="single" w:sz="4" w:space="0" w:color="auto"/>
            </w:tcBorders>
            <w:shd w:val="clear" w:color="auto" w:fill="F2F2F2"/>
          </w:tcPr>
          <w:p w14:paraId="4A566DC2" w14:textId="77777777" w:rsidR="00A270A2" w:rsidRDefault="00A270A2" w:rsidP="00AE6672">
            <w:pPr>
              <w:pStyle w:val="Tabellentitel"/>
              <w:ind w:left="0" w:right="0"/>
            </w:pPr>
            <w:r w:rsidRPr="00B70AE8">
              <w:t>Introduction</w:t>
            </w:r>
          </w:p>
        </w:tc>
        <w:tc>
          <w:tcPr>
            <w:tcW w:w="7515" w:type="dxa"/>
            <w:tcBorders>
              <w:bottom w:val="single" w:sz="4" w:space="0" w:color="auto"/>
            </w:tcBorders>
            <w:shd w:val="clear" w:color="auto" w:fill="F2F2F2"/>
          </w:tcPr>
          <w:p w14:paraId="70BD957F" w14:textId="77777777" w:rsidR="00A270A2" w:rsidRPr="00A270A2" w:rsidRDefault="00A270A2" w:rsidP="00AE6672">
            <w:pPr>
              <w:ind w:left="0" w:right="0"/>
              <w:rPr>
                <w:lang w:val="fr-CH"/>
              </w:rPr>
            </w:pPr>
            <w:r w:rsidRPr="00A270A2">
              <w:rPr>
                <w:lang w:val="fr-CH"/>
              </w:rPr>
              <w:t>Dans les chapitres ci-dessus, chaque consommateur de chaleur a été décrit sommairement. Afin d’estimer s’il est judicieux d’effectuer une analyse plus précise associant consommateurs de chaleur et rejets de chaleur, les principales sources de rejets de chaleur sont relevées ici.</w:t>
            </w:r>
          </w:p>
        </w:tc>
      </w:tr>
      <w:tr w:rsidR="00430873" w:rsidRPr="00F82B1E" w14:paraId="4A944850" w14:textId="77777777" w:rsidTr="00A270A2">
        <w:trPr>
          <w:cantSplit/>
        </w:trPr>
        <w:tc>
          <w:tcPr>
            <w:tcW w:w="9696" w:type="dxa"/>
            <w:gridSpan w:val="2"/>
            <w:tcBorders>
              <w:bottom w:val="single" w:sz="4" w:space="0" w:color="auto"/>
            </w:tcBorders>
          </w:tcPr>
          <w:p w14:paraId="5DE75F01" w14:textId="77777777" w:rsidR="00430873" w:rsidRPr="00936B78" w:rsidRDefault="00C47AA9" w:rsidP="00AE6672">
            <w:pPr>
              <w:pStyle w:val="Bild"/>
              <w:ind w:left="0" w:right="0"/>
            </w:pPr>
            <w:r>
              <w:drawing>
                <wp:inline distT="0" distB="0" distL="0" distR="0" wp14:anchorId="22F1502C" wp14:editId="1E9D6773">
                  <wp:extent cx="6085205" cy="1276985"/>
                  <wp:effectExtent l="1905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srcRect/>
                          <a:stretch>
                            <a:fillRect/>
                          </a:stretch>
                        </pic:blipFill>
                        <pic:spPr bwMode="auto">
                          <a:xfrm>
                            <a:off x="0" y="0"/>
                            <a:ext cx="6085205" cy="1276985"/>
                          </a:xfrm>
                          <a:prstGeom prst="rect">
                            <a:avLst/>
                          </a:prstGeom>
                          <a:noFill/>
                          <a:ln w="9525">
                            <a:noFill/>
                            <a:miter lim="800000"/>
                            <a:headEnd/>
                            <a:tailEnd/>
                          </a:ln>
                        </pic:spPr>
                      </pic:pic>
                    </a:graphicData>
                  </a:graphic>
                </wp:inline>
              </w:drawing>
            </w:r>
          </w:p>
          <w:p w14:paraId="103489B9" w14:textId="77777777" w:rsidR="00430873" w:rsidRPr="00AE6672" w:rsidRDefault="00757FB5" w:rsidP="00757FB5">
            <w:pPr>
              <w:pStyle w:val="BildTabellenbeschriftung"/>
            </w:pPr>
            <w:bookmarkStart w:id="143" w:name="_Toc421696314"/>
            <w:r w:rsidRPr="00B70AE8">
              <w:t xml:space="preserve">Tableau </w:t>
            </w:r>
            <w:r w:rsidR="00AE6C37">
              <w:fldChar w:fldCharType="begin"/>
            </w:r>
            <w:r w:rsidR="00AE6C37">
              <w:instrText xml:space="preserve"> SEQ Tabelle \* ARABIC </w:instrText>
            </w:r>
            <w:r w:rsidR="00AE6C37">
              <w:fldChar w:fldCharType="separate"/>
            </w:r>
            <w:r w:rsidR="00FD6355">
              <w:t>18</w:t>
            </w:r>
            <w:r w:rsidR="00AE6C37">
              <w:fldChar w:fldCharType="end"/>
            </w:r>
            <w:r w:rsidRPr="00AE6672">
              <w:t xml:space="preserve"> </w:t>
            </w:r>
            <w:r w:rsidR="00A270A2" w:rsidRPr="00AE6672">
              <w:t>(relevé du potentiel des rejets de chaleur)</w:t>
            </w:r>
            <w:bookmarkEnd w:id="143"/>
          </w:p>
        </w:tc>
      </w:tr>
      <w:tr w:rsidR="00A270A2" w:rsidRPr="00F82B1E" w14:paraId="6A6C5901" w14:textId="77777777" w:rsidTr="00A270A2">
        <w:trPr>
          <w:cantSplit/>
        </w:trPr>
        <w:tc>
          <w:tcPr>
            <w:tcW w:w="2181" w:type="dxa"/>
          </w:tcPr>
          <w:p w14:paraId="35A6F131" w14:textId="77777777" w:rsidR="00A270A2" w:rsidRDefault="00A270A2" w:rsidP="006D6A0A">
            <w:pPr>
              <w:pStyle w:val="Tabellentitel"/>
              <w:ind w:left="0" w:right="0"/>
            </w:pPr>
            <w:r w:rsidRPr="00B70AE8">
              <w:t>Description générale</w:t>
            </w:r>
          </w:p>
        </w:tc>
        <w:tc>
          <w:tcPr>
            <w:tcW w:w="7515" w:type="dxa"/>
            <w:shd w:val="clear" w:color="auto" w:fill="B9DAFF"/>
          </w:tcPr>
          <w:p w14:paraId="607FAD41" w14:textId="77777777" w:rsidR="00A270A2" w:rsidRPr="00A270A2" w:rsidRDefault="00A270A2" w:rsidP="006D6A0A">
            <w:pPr>
              <w:ind w:left="0" w:right="0"/>
              <w:rPr>
                <w:lang w:val="fr-CH"/>
              </w:rPr>
            </w:pPr>
            <w:r w:rsidRPr="00A270A2">
              <w:rPr>
                <w:lang w:val="fr-CH"/>
              </w:rPr>
              <w:t>Les températures des eaux usées les plus élevées (env. 70 °C) sont atteintes lors des nettoyages CIP (Clean in Place) qui représentent près de 8’000 m</w:t>
            </w:r>
            <w:r w:rsidRPr="00A270A2">
              <w:rPr>
                <w:vertAlign w:val="superscript"/>
                <w:lang w:val="fr-CH"/>
              </w:rPr>
              <w:t>3</w:t>
            </w:r>
            <w:r w:rsidRPr="00A270A2">
              <w:rPr>
                <w:lang w:val="fr-CH"/>
              </w:rPr>
              <w:t xml:space="preserve">/an. Les nettoyages CIP sont effectués avec des flux de masse différents et de manière discontinue (env. toutes les deux à six heures). Par conséquent, une utilisation des eaux usées à haut niveau de température nécessiterait, le cas échéant, un accumulateur. </w:t>
            </w:r>
          </w:p>
          <w:p w14:paraId="1D268942" w14:textId="77777777" w:rsidR="00A270A2" w:rsidRPr="00A270A2" w:rsidRDefault="00A270A2" w:rsidP="006D6A0A">
            <w:pPr>
              <w:ind w:left="0" w:right="0"/>
              <w:rPr>
                <w:lang w:val="fr-CH"/>
              </w:rPr>
            </w:pPr>
            <w:r w:rsidRPr="00A270A2">
              <w:rPr>
                <w:lang w:val="fr-CH"/>
              </w:rPr>
              <w:t>Le condensat provenant de la stérilisation qui est conduit directement dans le bassin de neutralisation est une autre source d’eaux usées à haute température mais, avec env. 1’000 m</w:t>
            </w:r>
            <w:r w:rsidRPr="00A270A2">
              <w:rPr>
                <w:vertAlign w:val="superscript"/>
                <w:lang w:val="fr-CH"/>
              </w:rPr>
              <w:t>3</w:t>
            </w:r>
            <w:r w:rsidRPr="00A270A2">
              <w:rPr>
                <w:lang w:val="fr-CH"/>
              </w:rPr>
              <w:t>/an, cette source est négligeable.</w:t>
            </w:r>
          </w:p>
        </w:tc>
      </w:tr>
      <w:tr w:rsidR="00A270A2" w:rsidRPr="00F82B1E" w14:paraId="19D57ED4" w14:textId="77777777" w:rsidTr="00A270A2">
        <w:trPr>
          <w:cantSplit/>
        </w:trPr>
        <w:tc>
          <w:tcPr>
            <w:tcW w:w="2181" w:type="dxa"/>
          </w:tcPr>
          <w:p w14:paraId="599F65C3" w14:textId="77777777" w:rsidR="00A270A2" w:rsidRDefault="00A270A2" w:rsidP="006D6A0A">
            <w:pPr>
              <w:pStyle w:val="Tabellentitel"/>
              <w:ind w:left="0" w:right="0"/>
            </w:pPr>
            <w:r w:rsidRPr="00B70AE8">
              <w:t xml:space="preserve">Description des </w:t>
            </w:r>
            <w:r w:rsidRPr="00B70AE8">
              <w:br/>
              <w:t xml:space="preserve">différents points: </w:t>
            </w:r>
          </w:p>
        </w:tc>
        <w:tc>
          <w:tcPr>
            <w:tcW w:w="7515" w:type="dxa"/>
            <w:shd w:val="clear" w:color="auto" w:fill="B9DAFF"/>
          </w:tcPr>
          <w:p w14:paraId="530FC0FB" w14:textId="77777777" w:rsidR="00A270A2" w:rsidRPr="006D6A0A" w:rsidRDefault="00A270A2" w:rsidP="000D4B44">
            <w:pPr>
              <w:pStyle w:val="NummerierteAufzhlung"/>
              <w:numPr>
                <w:ilvl w:val="0"/>
                <w:numId w:val="22"/>
              </w:numPr>
              <w:spacing w:after="0"/>
              <w:rPr>
                <w:lang w:val="fr-CH"/>
              </w:rPr>
            </w:pPr>
            <w:r w:rsidRPr="006D6A0A">
              <w:rPr>
                <w:lang w:val="fr-CH"/>
              </w:rPr>
              <w:t>Les eaux usées sont recueillies dans un bassin de neutralisation de 10 m</w:t>
            </w:r>
            <w:r w:rsidRPr="006D6A0A">
              <w:rPr>
                <w:vertAlign w:val="superscript"/>
                <w:lang w:val="fr-CH"/>
              </w:rPr>
              <w:t>3</w:t>
            </w:r>
            <w:r w:rsidRPr="006D6A0A">
              <w:rPr>
                <w:lang w:val="fr-CH"/>
              </w:rPr>
              <w:t xml:space="preserve"> puis dirigées vers la station d’épuration. Environ 50’000 m</w:t>
            </w:r>
            <w:r w:rsidRPr="006D6A0A">
              <w:rPr>
                <w:vertAlign w:val="superscript"/>
                <w:lang w:val="fr-CH"/>
              </w:rPr>
              <w:t>3</w:t>
            </w:r>
            <w:r w:rsidRPr="006D6A0A">
              <w:rPr>
                <w:lang w:val="fr-CH"/>
              </w:rPr>
              <w:t xml:space="preserve"> d’eaux usées d’une température moyenne avoisinant les 25 °C sont produites par an. </w:t>
            </w:r>
          </w:p>
          <w:p w14:paraId="1E6B408A" w14:textId="77777777" w:rsidR="00A270A2" w:rsidRDefault="00A270A2" w:rsidP="000D4B44">
            <w:pPr>
              <w:pStyle w:val="NummerierteAufzhlung"/>
              <w:numPr>
                <w:ilvl w:val="0"/>
                <w:numId w:val="6"/>
              </w:numPr>
              <w:spacing w:after="0"/>
              <w:rPr>
                <w:lang w:val="fr-CH"/>
              </w:rPr>
            </w:pPr>
            <w:r w:rsidRPr="00B70AE8">
              <w:rPr>
                <w:lang w:val="fr-CH"/>
              </w:rPr>
              <w:t xml:space="preserve">Les eaux usées de la partie de la production A (nettoyages CIP) sont comprises dans le total figurant sous «Eaux usées Total». Les nettoyages CIP sont effectués avec des flux de masse différents et de manière discontinue (env. toutes les deux à six heures). Par conséquent, une utilisation des eaux usées à haut niveau de température nécessiterait, le cas échéant, un accumulateur. </w:t>
            </w:r>
          </w:p>
          <w:p w14:paraId="1397C26E" w14:textId="77777777" w:rsidR="00A270A2" w:rsidRDefault="00A270A2" w:rsidP="000D4B44">
            <w:pPr>
              <w:pStyle w:val="NummerierteAufzhlung"/>
              <w:numPr>
                <w:ilvl w:val="0"/>
                <w:numId w:val="6"/>
              </w:numPr>
              <w:spacing w:after="0"/>
              <w:rPr>
                <w:lang w:val="fr-CH"/>
              </w:rPr>
            </w:pPr>
            <w:r w:rsidRPr="00B70AE8">
              <w:rPr>
                <w:lang w:val="fr-CH"/>
              </w:rPr>
              <w:t>On laisse aujourd’hui refroidir le petit-lait PSF 2, qui est concentré ensuite dans une installation d’osmose inverse.</w:t>
            </w:r>
          </w:p>
          <w:p w14:paraId="400AB6B3" w14:textId="77777777" w:rsidR="00A270A2" w:rsidRDefault="00A270A2" w:rsidP="000D4B44">
            <w:pPr>
              <w:pStyle w:val="NummerierteAufzhlung"/>
              <w:numPr>
                <w:ilvl w:val="0"/>
                <w:numId w:val="6"/>
              </w:numPr>
              <w:spacing w:after="0"/>
              <w:rPr>
                <w:lang w:val="fr-CH"/>
              </w:rPr>
            </w:pPr>
            <w:r w:rsidRPr="00B70AE8">
              <w:rPr>
                <w:lang w:val="fr-CH"/>
              </w:rPr>
              <w:t>On laisse aujourd’hui refroidir le petit-lait PSF 1, qui est concentré ensuite dans une installation d’osmose inverse.</w:t>
            </w:r>
          </w:p>
          <w:p w14:paraId="760FC877" w14:textId="77777777" w:rsidR="00A270A2" w:rsidRDefault="00A270A2" w:rsidP="000D4B44">
            <w:pPr>
              <w:pStyle w:val="NummerierteAufzhlung"/>
              <w:numPr>
                <w:ilvl w:val="0"/>
                <w:numId w:val="6"/>
              </w:numPr>
              <w:spacing w:after="0"/>
              <w:rPr>
                <w:lang w:val="fr-CH"/>
              </w:rPr>
            </w:pPr>
            <w:r w:rsidRPr="00B70AE8">
              <w:rPr>
                <w:lang w:val="fr-CH"/>
              </w:rPr>
              <w:t>La quantité d’air évacué a été estimée approximativement (env. 20’000 m</w:t>
            </w:r>
            <w:r w:rsidRPr="00B70AE8">
              <w:rPr>
                <w:vertAlign w:val="superscript"/>
                <w:lang w:val="fr-CH"/>
              </w:rPr>
              <w:t>3</w:t>
            </w:r>
            <w:r w:rsidRPr="00B70AE8">
              <w:rPr>
                <w:lang w:val="fr-CH"/>
              </w:rPr>
              <w:t>/h). </w:t>
            </w:r>
          </w:p>
          <w:p w14:paraId="568A7C75" w14:textId="77777777" w:rsidR="00A270A2" w:rsidRDefault="00A270A2" w:rsidP="000D4B44">
            <w:pPr>
              <w:pStyle w:val="NummerierteAufzhlung"/>
              <w:numPr>
                <w:ilvl w:val="0"/>
                <w:numId w:val="6"/>
              </w:numPr>
              <w:spacing w:after="0"/>
              <w:rPr>
                <w:lang w:val="fr-CH"/>
              </w:rPr>
            </w:pPr>
            <w:r w:rsidRPr="00B70AE8">
              <w:rPr>
                <w:lang w:val="fr-CH"/>
              </w:rPr>
              <w:t>Le refroidissement lors de la pasteurisation (aussi n° 7) s’effectue aujourd’hui avec de l’eau glacée.</w:t>
            </w:r>
          </w:p>
        </w:tc>
      </w:tr>
      <w:tr w:rsidR="00A270A2" w:rsidRPr="00F82B1E" w14:paraId="30946CDE" w14:textId="77777777" w:rsidTr="00A270A2">
        <w:trPr>
          <w:cantSplit/>
        </w:trPr>
        <w:tc>
          <w:tcPr>
            <w:tcW w:w="2181" w:type="dxa"/>
            <w:shd w:val="clear" w:color="auto" w:fill="F2DBDB"/>
          </w:tcPr>
          <w:p w14:paraId="2E6F5B31" w14:textId="77777777" w:rsidR="00A270A2" w:rsidRDefault="00A270A2" w:rsidP="006D6A0A">
            <w:pPr>
              <w:pStyle w:val="Tabellentitel"/>
              <w:ind w:left="0" w:right="0"/>
            </w:pPr>
            <w:r w:rsidRPr="00B70AE8">
              <w:t>Exigences</w:t>
            </w:r>
          </w:p>
        </w:tc>
        <w:tc>
          <w:tcPr>
            <w:tcW w:w="7515" w:type="dxa"/>
            <w:shd w:val="clear" w:color="auto" w:fill="F2DBDB"/>
          </w:tcPr>
          <w:p w14:paraId="010A27EB"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Quantité d’eaux usées par an et température moyenne des eaux usées, y compris l’eau utilisée pour le refroidissement.</w:t>
            </w:r>
          </w:p>
          <w:p w14:paraId="7DAA0FED"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Description de l’évolution temporelle des quantités d’eaux usées et de leur température sous forme de graphique, de tableau ou de texte.</w:t>
            </w:r>
          </w:p>
          <w:p w14:paraId="0031E1BA"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Indication des sources surchauffées/chaudes dont les rejets de chaleur pourraient être utilisés (p. ex. le petit-lait chaud après le procédé de fabrication du fromage).</w:t>
            </w:r>
          </w:p>
          <w:p w14:paraId="14AD4782"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Indication des principaux flux d’air évacué de l’entreprise avec la température et l’humidité.</w:t>
            </w:r>
          </w:p>
          <w:p w14:paraId="569CFCC6"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Indication des exigences de refroidissement qui sont remplies avec de l’eau potable ou des tours de refroidissements.</w:t>
            </w:r>
          </w:p>
          <w:p w14:paraId="5F9A2920"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 xml:space="preserve">Il est possible d’agréger plusieurs sources de rejets de chaleur similaires. </w:t>
            </w:r>
          </w:p>
          <w:p w14:paraId="3828A3F1"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t>Lorsqu’un potentiel de rejets de chaleur n’est clairement pas rentable, il est possible d’expliquer quantitativement pourquoi ce potentiel n’est pas étudié plus avant (p. ex. 400 mètres linéaires de conduite pour un potentiel de rejets de chaleur de 2’000 CHF/an).</w:t>
            </w:r>
          </w:p>
          <w:p w14:paraId="00371D6E" w14:textId="44C15DFD" w:rsidR="00AE7B3C" w:rsidRDefault="00AE7B3C"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Pr="00B70AE8">
              <w:rPr>
                <w:rFonts w:ascii="Wingdings" w:hAnsi="Wingdings"/>
              </w:rPr>
              <w:tab/>
            </w:r>
            <w:r>
              <w:t xml:space="preserve">Pour les conventions d’objectifs universelles, le </w:t>
            </w:r>
            <w:r w:rsidRPr="00B70AE8">
              <w:t>potentiel de rejets de chaleur</w:t>
            </w:r>
            <w:r>
              <w:t xml:space="preserve"> doit au moins faire l’objet d’une description qualitative.</w:t>
            </w:r>
          </w:p>
          <w:p w14:paraId="0A261CEF"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rPr>
                <w:b/>
              </w:rPr>
              <w:t>Facultatif:</w:t>
            </w:r>
            <w:r w:rsidR="00A270A2" w:rsidRPr="00B70AE8">
              <w:t xml:space="preserve"> indication des exigences de refroidissement qui sont p. ex. déjà couvertes aujourd’hui par la récupération de chaleur. Motif sous-jacent: </w:t>
            </w:r>
            <w:r w:rsidR="00646D7A">
              <w:t xml:space="preserve">on pourrait trouver </w:t>
            </w:r>
            <w:r w:rsidR="00A270A2" w:rsidRPr="00B70AE8">
              <w:t>une utilisation plus judicieuse des rejets de chaleur pourrait être trouvée.</w:t>
            </w:r>
          </w:p>
          <w:p w14:paraId="7330C221" w14:textId="77777777" w:rsidR="00A270A2"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A270A2"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A270A2" w:rsidRPr="00B70AE8">
              <w:rPr>
                <w:rFonts w:ascii="Wingdings" w:hAnsi="Wingdings"/>
              </w:rPr>
              <w:tab/>
            </w:r>
            <w:r w:rsidR="00A270A2" w:rsidRPr="00B70AE8">
              <w:rPr>
                <w:b/>
              </w:rPr>
              <w:t>Facultatif:</w:t>
            </w:r>
            <w:r w:rsidR="00A270A2" w:rsidRPr="00B70AE8">
              <w:t xml:space="preserve"> indication des exigences de refroidissement qui sont remplies par une machine frigorifique (les machines frigorifiques sont analysées au chapitre 5.2.2).</w:t>
            </w:r>
          </w:p>
        </w:tc>
      </w:tr>
      <w:tr w:rsidR="00A270A2" w:rsidRPr="00F82B1E" w14:paraId="17692A80" w14:textId="77777777" w:rsidTr="00A270A2">
        <w:trPr>
          <w:cantSplit/>
        </w:trPr>
        <w:tc>
          <w:tcPr>
            <w:tcW w:w="2181" w:type="dxa"/>
            <w:shd w:val="clear" w:color="auto" w:fill="F2F2F2"/>
          </w:tcPr>
          <w:p w14:paraId="4921444F" w14:textId="77777777" w:rsidR="00A270A2" w:rsidRDefault="00A270A2" w:rsidP="006D6A0A">
            <w:pPr>
              <w:pStyle w:val="Tabellentitel"/>
              <w:ind w:left="0" w:right="0"/>
            </w:pPr>
            <w:r w:rsidRPr="00B70AE8">
              <w:t>Aide</w:t>
            </w:r>
          </w:p>
        </w:tc>
        <w:tc>
          <w:tcPr>
            <w:tcW w:w="7515" w:type="dxa"/>
            <w:shd w:val="clear" w:color="auto" w:fill="F2F2F2"/>
          </w:tcPr>
          <w:p w14:paraId="1C46655D" w14:textId="77777777" w:rsidR="00A270A2" w:rsidRDefault="00A270A2" w:rsidP="00D72126">
            <w:pPr>
              <w:pStyle w:val="AuflistungHilfestellung"/>
            </w:pPr>
            <w:r w:rsidRPr="00B70AE8">
              <w:rPr>
                <w:b/>
              </w:rPr>
              <w:t xml:space="preserve">Les eaux usées </w:t>
            </w:r>
            <w:r w:rsidRPr="00B70AE8">
              <w:t>se révèlent souvent une source de chaleur utilisable surtout lorsqu’elles sont collectées avant d’être rejetées dans les égouts (source constante de chaleur). Outre la température moyenne des eaux usées (ou l’évolution temporelle de leur température), des eaux usées à haute température prises isolément peuvent aussi présenter un potentiel de récupération de chaleur.</w:t>
            </w:r>
          </w:p>
          <w:p w14:paraId="53AB7262" w14:textId="77777777" w:rsidR="00A270A2" w:rsidRDefault="00A270A2" w:rsidP="00D72126">
            <w:pPr>
              <w:pStyle w:val="AuflistungHilfestellung"/>
            </w:pPr>
            <w:r w:rsidRPr="00B70AE8">
              <w:t xml:space="preserve">Dans le tableau, </w:t>
            </w:r>
            <w:r w:rsidRPr="00B70AE8">
              <w:rPr>
                <w:b/>
              </w:rPr>
              <w:t>T</w:t>
            </w:r>
            <w:r w:rsidRPr="00B70AE8">
              <w:rPr>
                <w:b/>
                <w:vertAlign w:val="subscript"/>
              </w:rPr>
              <w:t>out</w:t>
            </w:r>
            <w:r w:rsidRPr="00B70AE8">
              <w:t xml:space="preserve"> désigne la température à laquelle le produit/l’air évacué/ les eaux usées/etc. doivent ou peuvent être refroidis. En général, pour les vecteurs qui peuvent mais ne doivent pas être refroidis, la T</w:t>
            </w:r>
            <w:r w:rsidRPr="00B70AE8">
              <w:rPr>
                <w:vertAlign w:val="subscript"/>
              </w:rPr>
              <w:t>out</w:t>
            </w:r>
            <w:r w:rsidRPr="00B70AE8">
              <w:t xml:space="preserve"> est de l’ordre de 12 °C: il est rarement judicieux de les refroidir plus car la chaleur pourrait alors aussi bien être soutirée de l’environnement.</w:t>
            </w:r>
          </w:p>
          <w:p w14:paraId="734FEC05" w14:textId="77777777" w:rsidR="00A270A2" w:rsidRDefault="00A270A2" w:rsidP="00D72126">
            <w:pPr>
              <w:pStyle w:val="AuflistungHilfestellung"/>
            </w:pPr>
            <w:r w:rsidRPr="00B70AE8">
              <w:t xml:space="preserve">Le </w:t>
            </w:r>
            <w:r w:rsidRPr="00B70AE8">
              <w:rPr>
                <w:b/>
              </w:rPr>
              <w:t>refroidissement à l’eau potable</w:t>
            </w:r>
            <w:r w:rsidRPr="00B70AE8">
              <w:t xml:space="preserve"> n’est pas forcément judicieux du point de vue énergétique ou économique. Un m</w:t>
            </w:r>
            <w:r w:rsidRPr="00B70AE8">
              <w:rPr>
                <w:vertAlign w:val="superscript"/>
              </w:rPr>
              <w:t>3</w:t>
            </w:r>
            <w:r w:rsidRPr="00B70AE8">
              <w:t xml:space="preserve"> d’eau potable chauffée de 12 °C à 30 °C fournit env. 21 kWh d’énergie de froid. Avec des coûts de 2,0 CHF/m</w:t>
            </w:r>
            <w:r w:rsidRPr="00B70AE8">
              <w:rPr>
                <w:vertAlign w:val="superscript"/>
              </w:rPr>
              <w:t>3</w:t>
            </w:r>
            <w:r w:rsidRPr="00B70AE8">
              <w:t>, on obtient des coûts de refroidissement de 9,5 ct/kWh. Les coûts de refroidissement spécifiques d’une machine frigorifique ayant un coefficient de performance (COP) de 2,0 se montent à env. 5,0 ct/kWh (lorsque l’électricité coûte 10 ct/kWh).</w:t>
            </w:r>
          </w:p>
          <w:p w14:paraId="5C1E7486" w14:textId="77777777" w:rsidR="00A270A2" w:rsidRDefault="00A270A2" w:rsidP="00D72126">
            <w:pPr>
              <w:pStyle w:val="AuflistungHilfestellung"/>
            </w:pPr>
            <w:r w:rsidRPr="00B70AE8">
              <w:t xml:space="preserve">Le </w:t>
            </w:r>
            <w:r w:rsidRPr="00B70AE8">
              <w:rPr>
                <w:b/>
              </w:rPr>
              <w:t>refroidissement à l’eau potable</w:t>
            </w:r>
            <w:r w:rsidRPr="00B70AE8">
              <w:t xml:space="preserve"> peut être judicieux lorsque le refroidissement ne doit être effectué que très sporadiquement et avec des puissances de pointe élevées. Les coûts d’investissement dans une machine frigorifique sont alors peut-être trop élevés. S’il y a suffisamment de place, il est aussi possible d’installer un accumulateur d’eau de refroidissement qui permet un dimensionnement plus petit des installations frigorifiques. </w:t>
            </w:r>
          </w:p>
        </w:tc>
      </w:tr>
    </w:tbl>
    <w:p w14:paraId="3890209B" w14:textId="77777777" w:rsidR="00893041" w:rsidRPr="00A270A2" w:rsidRDefault="00893041" w:rsidP="00595461">
      <w:pPr>
        <w:rPr>
          <w:lang w:val="fr-CH"/>
        </w:rPr>
      </w:pPr>
    </w:p>
    <w:p w14:paraId="0C3FA551" w14:textId="77777777" w:rsidR="00293C0D" w:rsidRPr="00B4595A" w:rsidRDefault="00893041" w:rsidP="000073BF">
      <w:pPr>
        <w:pStyle w:val="berschrift2"/>
      </w:pPr>
      <w:r w:rsidRPr="00B4595A">
        <w:br w:type="page"/>
      </w:r>
      <w:bookmarkStart w:id="144" w:name="_Toc347303586"/>
      <w:bookmarkStart w:id="145" w:name="_Toc347853271"/>
      <w:bookmarkStart w:id="146" w:name="_Toc354127720"/>
      <w:bookmarkStart w:id="147" w:name="_Toc421696286"/>
      <w:r w:rsidR="00A270A2" w:rsidRPr="00B70AE8">
        <w:t>Diagramme de Sankey des flux d’énergie</w:t>
      </w:r>
      <w:bookmarkEnd w:id="144"/>
      <w:bookmarkEnd w:id="145"/>
      <w:bookmarkEnd w:id="146"/>
      <w:bookmarkEnd w:id="147"/>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A270A2" w:rsidRPr="00F82B1E" w14:paraId="0E756833" w14:textId="77777777" w:rsidTr="00A270A2">
        <w:trPr>
          <w:cantSplit/>
        </w:trPr>
        <w:tc>
          <w:tcPr>
            <w:tcW w:w="2181" w:type="dxa"/>
            <w:tcBorders>
              <w:bottom w:val="single" w:sz="4" w:space="0" w:color="auto"/>
            </w:tcBorders>
            <w:shd w:val="clear" w:color="auto" w:fill="F2F2F2"/>
          </w:tcPr>
          <w:p w14:paraId="00B5C116" w14:textId="77777777" w:rsidR="00A270A2" w:rsidRDefault="00A270A2" w:rsidP="006D6A0A">
            <w:pPr>
              <w:pStyle w:val="Tabellentitel"/>
              <w:ind w:left="0" w:right="0"/>
            </w:pPr>
            <w:r w:rsidRPr="00B70AE8">
              <w:t>Introduction</w:t>
            </w:r>
          </w:p>
        </w:tc>
        <w:tc>
          <w:tcPr>
            <w:tcW w:w="7515" w:type="dxa"/>
            <w:tcBorders>
              <w:bottom w:val="single" w:sz="4" w:space="0" w:color="auto"/>
            </w:tcBorders>
            <w:shd w:val="clear" w:color="auto" w:fill="F2F2F2"/>
          </w:tcPr>
          <w:p w14:paraId="57BD265B" w14:textId="77777777" w:rsidR="00A270A2" w:rsidRPr="00A270A2" w:rsidRDefault="00A270A2" w:rsidP="006D6A0A">
            <w:pPr>
              <w:ind w:left="0" w:right="0"/>
              <w:rPr>
                <w:lang w:val="fr-CH"/>
              </w:rPr>
            </w:pPr>
            <w:r w:rsidRPr="00A270A2">
              <w:rPr>
                <w:lang w:val="fr-CH"/>
              </w:rPr>
              <w:t xml:space="preserve">Le diagramme de Sankey suivant présente les flux d’énergie relevés aux chapitres ci-dessus. C’est une excellente base pour obtenir rapidement une vue d’ensemble de la situation énergétique dans l’entreprise. </w:t>
            </w:r>
          </w:p>
        </w:tc>
      </w:tr>
      <w:tr w:rsidR="00BE71DB" w:rsidRPr="00F82B1E" w14:paraId="36312AA5" w14:textId="77777777" w:rsidTr="00A270A2">
        <w:trPr>
          <w:cantSplit/>
        </w:trPr>
        <w:tc>
          <w:tcPr>
            <w:tcW w:w="9696" w:type="dxa"/>
            <w:gridSpan w:val="2"/>
            <w:tcBorders>
              <w:bottom w:val="single" w:sz="4" w:space="0" w:color="auto"/>
            </w:tcBorders>
          </w:tcPr>
          <w:p w14:paraId="492B2420" w14:textId="77777777" w:rsidR="00BE71DB" w:rsidRPr="00936B78" w:rsidRDefault="00C47AA9" w:rsidP="006D6A0A">
            <w:pPr>
              <w:pStyle w:val="Bild"/>
              <w:ind w:left="0" w:right="0"/>
            </w:pPr>
            <w:r>
              <w:drawing>
                <wp:inline distT="0" distB="0" distL="0" distR="0" wp14:anchorId="17967ADA" wp14:editId="02F3A908">
                  <wp:extent cx="6006465" cy="4036060"/>
                  <wp:effectExtent l="19050" t="0" r="0" b="0"/>
                  <wp:docPr id="30" name="Bild 30" descr="Sankey_LATI_4 - f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nkey_LATI_4 - frz"/>
                          <pic:cNvPicPr>
                            <a:picLocks noChangeAspect="1" noChangeArrowheads="1"/>
                          </pic:cNvPicPr>
                        </pic:nvPicPr>
                        <pic:blipFill>
                          <a:blip r:embed="rId50" cstate="print"/>
                          <a:srcRect/>
                          <a:stretch>
                            <a:fillRect/>
                          </a:stretch>
                        </pic:blipFill>
                        <pic:spPr bwMode="auto">
                          <a:xfrm>
                            <a:off x="0" y="0"/>
                            <a:ext cx="6006465" cy="4036060"/>
                          </a:xfrm>
                          <a:prstGeom prst="rect">
                            <a:avLst/>
                          </a:prstGeom>
                          <a:noFill/>
                          <a:ln w="9525">
                            <a:noFill/>
                            <a:miter lim="800000"/>
                            <a:headEnd/>
                            <a:tailEnd/>
                          </a:ln>
                        </pic:spPr>
                      </pic:pic>
                    </a:graphicData>
                  </a:graphic>
                </wp:inline>
              </w:drawing>
            </w:r>
          </w:p>
          <w:p w14:paraId="1715B0ED" w14:textId="77777777" w:rsidR="00BE71DB" w:rsidRPr="00E4458C" w:rsidRDefault="00E4458C" w:rsidP="00753B0A">
            <w:pPr>
              <w:pStyle w:val="BildTabellenbeschriftung"/>
            </w:pPr>
            <w:bookmarkStart w:id="148" w:name="_Toc354127729"/>
            <w:bookmarkStart w:id="149" w:name="_Toc421696296"/>
            <w:r w:rsidRPr="00753B0A">
              <w:t>Illustration</w:t>
            </w:r>
            <w:r w:rsidRPr="00B70AE8">
              <w:t xml:space="preserve"> </w:t>
            </w:r>
            <w:r w:rsidR="003714FF">
              <w:rPr>
                <w:noProof w:val="0"/>
              </w:rPr>
              <w:fldChar w:fldCharType="begin"/>
            </w:r>
            <w:r w:rsidR="00F53030">
              <w:rPr>
                <w:noProof w:val="0"/>
              </w:rPr>
              <w:instrText xml:space="preserve"> SEQ Abbildung \* ARABIC </w:instrText>
            </w:r>
            <w:r w:rsidR="003714FF">
              <w:rPr>
                <w:noProof w:val="0"/>
              </w:rPr>
              <w:fldChar w:fldCharType="separate"/>
            </w:r>
            <w:r w:rsidR="00FD6355">
              <w:t>6</w:t>
            </w:r>
            <w:r w:rsidR="003714FF">
              <w:rPr>
                <w:noProof w:val="0"/>
              </w:rPr>
              <w:fldChar w:fldCharType="end"/>
            </w:r>
            <w:r w:rsidRPr="00B70AE8">
              <w:t xml:space="preserve"> (diagramme de Sankey pour 2011)</w:t>
            </w:r>
            <w:bookmarkEnd w:id="148"/>
            <w:bookmarkEnd w:id="149"/>
          </w:p>
        </w:tc>
      </w:tr>
      <w:tr w:rsidR="00E4458C" w:rsidRPr="00936B78" w14:paraId="556FB1C9" w14:textId="77777777" w:rsidTr="00A270A2">
        <w:trPr>
          <w:cantSplit/>
        </w:trPr>
        <w:tc>
          <w:tcPr>
            <w:tcW w:w="2181" w:type="dxa"/>
          </w:tcPr>
          <w:p w14:paraId="173DDEC6" w14:textId="77777777" w:rsidR="00E4458C" w:rsidRDefault="00E4458C" w:rsidP="006D6A0A">
            <w:pPr>
              <w:pStyle w:val="Tabellentitel"/>
              <w:ind w:left="0" w:right="0"/>
            </w:pPr>
            <w:r w:rsidRPr="00B70AE8">
              <w:t>Description générale</w:t>
            </w:r>
          </w:p>
        </w:tc>
        <w:tc>
          <w:tcPr>
            <w:tcW w:w="7515" w:type="dxa"/>
            <w:tcBorders>
              <w:bottom w:val="single" w:sz="4" w:space="0" w:color="auto"/>
            </w:tcBorders>
            <w:shd w:val="clear" w:color="auto" w:fill="B9DAFF"/>
          </w:tcPr>
          <w:p w14:paraId="3B981BCF" w14:textId="77777777" w:rsidR="00E4458C" w:rsidRDefault="00E4458C" w:rsidP="006D6A0A">
            <w:pPr>
              <w:ind w:left="340" w:right="0" w:hanging="340"/>
            </w:pPr>
            <w:r w:rsidRPr="00B70AE8">
              <w:t>Aucune</w:t>
            </w:r>
          </w:p>
        </w:tc>
      </w:tr>
      <w:tr w:rsidR="00E4458C" w:rsidRPr="00936B78" w14:paraId="51317B76" w14:textId="77777777" w:rsidTr="00A270A2">
        <w:trPr>
          <w:cantSplit/>
        </w:trPr>
        <w:tc>
          <w:tcPr>
            <w:tcW w:w="2181" w:type="dxa"/>
          </w:tcPr>
          <w:p w14:paraId="390440D7" w14:textId="77777777" w:rsidR="00E4458C" w:rsidRDefault="00E4458C" w:rsidP="006D6A0A">
            <w:pPr>
              <w:pStyle w:val="Tabellentitel"/>
              <w:ind w:left="0" w:right="0"/>
            </w:pPr>
            <w:r w:rsidRPr="00B70AE8">
              <w:t xml:space="preserve">Description des </w:t>
            </w:r>
          </w:p>
          <w:p w14:paraId="73384341" w14:textId="77777777" w:rsidR="00E4458C" w:rsidRDefault="00E4458C" w:rsidP="006D6A0A">
            <w:pPr>
              <w:pStyle w:val="Tabellentitel"/>
              <w:ind w:left="0" w:right="0"/>
            </w:pPr>
            <w:r w:rsidRPr="00B70AE8">
              <w:t xml:space="preserve">différents points: </w:t>
            </w:r>
          </w:p>
        </w:tc>
        <w:tc>
          <w:tcPr>
            <w:tcW w:w="7515" w:type="dxa"/>
            <w:shd w:val="clear" w:color="auto" w:fill="B9DAFF"/>
          </w:tcPr>
          <w:p w14:paraId="50791BEF" w14:textId="77777777" w:rsidR="00E4458C" w:rsidRDefault="00E4458C" w:rsidP="006D6A0A">
            <w:pPr>
              <w:pStyle w:val="NummerierteAufzhlung"/>
              <w:numPr>
                <w:ilvl w:val="0"/>
                <w:numId w:val="0"/>
              </w:numPr>
              <w:spacing w:after="0"/>
              <w:ind w:left="340" w:hanging="340"/>
              <w:rPr>
                <w:rFonts w:ascii="Cambria" w:eastAsia="Times New Roman" w:hAnsi="Cambria"/>
                <w:b/>
                <w:bCs/>
                <w:sz w:val="36"/>
                <w:szCs w:val="28"/>
                <w:lang w:val="fr-CH"/>
              </w:rPr>
            </w:pPr>
            <w:r w:rsidRPr="00B70AE8">
              <w:rPr>
                <w:lang w:val="fr-CH"/>
              </w:rPr>
              <w:t>Aucune</w:t>
            </w:r>
          </w:p>
        </w:tc>
      </w:tr>
      <w:tr w:rsidR="00E4458C" w:rsidRPr="00F82B1E" w14:paraId="2176F0DD" w14:textId="77777777" w:rsidTr="00A270A2">
        <w:trPr>
          <w:cantSplit/>
        </w:trPr>
        <w:tc>
          <w:tcPr>
            <w:tcW w:w="2181" w:type="dxa"/>
            <w:shd w:val="clear" w:color="auto" w:fill="F2DBDB"/>
          </w:tcPr>
          <w:p w14:paraId="725A3D53" w14:textId="77777777" w:rsidR="00E4458C" w:rsidRDefault="00E4458C" w:rsidP="006D6A0A">
            <w:pPr>
              <w:pStyle w:val="Tabellentitel"/>
              <w:ind w:left="0" w:right="0"/>
            </w:pPr>
            <w:r w:rsidRPr="00B70AE8">
              <w:t>Exigences</w:t>
            </w:r>
          </w:p>
        </w:tc>
        <w:tc>
          <w:tcPr>
            <w:tcW w:w="7515" w:type="dxa"/>
            <w:shd w:val="clear" w:color="auto" w:fill="F2DBDB"/>
          </w:tcPr>
          <w:p w14:paraId="0AEF82BB"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Ce chapitre étant facultatif pour toutes les entreprises, il n’y a aucune exigence.</w:t>
            </w:r>
          </w:p>
        </w:tc>
      </w:tr>
      <w:tr w:rsidR="00E4458C" w:rsidRPr="00F82B1E" w14:paraId="5D878275" w14:textId="77777777" w:rsidTr="00A270A2">
        <w:trPr>
          <w:cantSplit/>
        </w:trPr>
        <w:tc>
          <w:tcPr>
            <w:tcW w:w="2181" w:type="dxa"/>
            <w:shd w:val="clear" w:color="auto" w:fill="F2F2F2"/>
          </w:tcPr>
          <w:p w14:paraId="6B031936" w14:textId="77777777" w:rsidR="00E4458C" w:rsidRDefault="00E4458C" w:rsidP="006D6A0A">
            <w:pPr>
              <w:pStyle w:val="Tabellentitel"/>
              <w:ind w:left="0" w:right="0"/>
            </w:pPr>
            <w:r w:rsidRPr="00B70AE8">
              <w:t>Aide</w:t>
            </w:r>
          </w:p>
        </w:tc>
        <w:tc>
          <w:tcPr>
            <w:tcW w:w="7515" w:type="dxa"/>
            <w:shd w:val="clear" w:color="auto" w:fill="F2F2F2"/>
          </w:tcPr>
          <w:p w14:paraId="70EB1F08" w14:textId="77777777" w:rsidR="00E4458C" w:rsidRDefault="00E4458C" w:rsidP="00D72126">
            <w:pPr>
              <w:pStyle w:val="AuflistungHilfestellung"/>
            </w:pPr>
            <w:r w:rsidRPr="00B70AE8">
              <w:t>On a relevé l’énergie finale au chapitre 4.1, la transformation et la distribution de l’énergie thermique finale au chapitre 5.2.1, les machines frigorifiques et les pompes à chaleur au chapitre 5.2.2, les consommateurs d’énergie thermique utile au chapitre 5.3.1 et les compresseurs à air comprimé/d’autres consommateurs d’électricité au chapitre 5.3.3. En général, avec les formulaires ci-dessus, on a saisi toutes les valeurs nécessaires pour établir un diagramme de Sankey permettant de tirer des conclusions.</w:t>
            </w:r>
          </w:p>
          <w:p w14:paraId="07125DD6" w14:textId="77777777" w:rsidR="00E4458C" w:rsidRDefault="00E4458C" w:rsidP="00D72126">
            <w:pPr>
              <w:pStyle w:val="AuflistungHilfestellung"/>
            </w:pPr>
            <w:r w:rsidRPr="00B70AE8">
              <w:t>Il existe différents programmes relativement abordables permettant d’établir des diagrammes de Sankey:</w:t>
            </w:r>
          </w:p>
          <w:p w14:paraId="66A68BD1" w14:textId="77777777" w:rsidR="00E4458C" w:rsidRDefault="00E4458C" w:rsidP="000073BF">
            <w:pPr>
              <w:pStyle w:val="Listenabsatz"/>
              <w:numPr>
                <w:ilvl w:val="0"/>
                <w:numId w:val="36"/>
              </w:numPr>
              <w:spacing w:after="120"/>
              <w:ind w:right="0"/>
              <w:jc w:val="both"/>
            </w:pPr>
            <w:r w:rsidRPr="00B70AE8">
              <w:t>e!Sankey (env. 190 EUR)</w:t>
            </w:r>
          </w:p>
          <w:p w14:paraId="1E4ED028" w14:textId="77777777" w:rsidR="00E4458C" w:rsidRDefault="00E4458C" w:rsidP="000073BF">
            <w:pPr>
              <w:pStyle w:val="Listenabsatz"/>
              <w:numPr>
                <w:ilvl w:val="0"/>
                <w:numId w:val="36"/>
              </w:numPr>
              <w:spacing w:after="120"/>
              <w:ind w:right="0"/>
              <w:jc w:val="both"/>
            </w:pPr>
            <w:r w:rsidRPr="00B70AE8">
              <w:t>SDraw (env. 140 EUR)</w:t>
            </w:r>
          </w:p>
          <w:p w14:paraId="50945257" w14:textId="77777777" w:rsidR="00E4458C" w:rsidRDefault="00E4458C" w:rsidP="00D72126">
            <w:pPr>
              <w:pStyle w:val="AuflistungHilfestellung"/>
            </w:pPr>
            <w:r w:rsidRPr="00B70AE8">
              <w:t>Etablir un diagramme de Sankey prend d’une demi-journée à un jour si les valeurs des chapitres décrits ci-dessus sont connues.</w:t>
            </w:r>
          </w:p>
          <w:p w14:paraId="6527BC34" w14:textId="77777777" w:rsidR="00E4458C" w:rsidRDefault="00E4458C" w:rsidP="00D72126">
            <w:pPr>
              <w:pStyle w:val="AuflistungHilfestellung"/>
            </w:pPr>
            <w:r w:rsidRPr="00B70AE8">
              <w:t>Pour les circuits d’eau chaude, les circuits d’eau surchauffée, les circuits de vapeur et de condensat, on doit en principe indiquer les pertes de distribution aller et retour sous les nœuds de distribution.</w:t>
            </w:r>
          </w:p>
          <w:p w14:paraId="406C069C" w14:textId="77777777" w:rsidR="00E4458C" w:rsidRDefault="00E4458C" w:rsidP="00D72126">
            <w:pPr>
              <w:pStyle w:val="AuflistungHilfestellung"/>
            </w:pPr>
            <w:r w:rsidRPr="00B70AE8">
              <w:t>Pour faciliter la lecture du diagramme de Sankey, on ne présente en général les circuits d’énergie que sous forme de différences:</w:t>
            </w:r>
          </w:p>
          <w:p w14:paraId="0B4661D9" w14:textId="77777777" w:rsidR="00E4458C" w:rsidRDefault="00E4458C" w:rsidP="000073BF">
            <w:pPr>
              <w:pStyle w:val="AuflistungHilfestellung"/>
              <w:numPr>
                <w:ilvl w:val="0"/>
                <w:numId w:val="37"/>
              </w:numPr>
            </w:pPr>
            <w:r w:rsidRPr="00B70AE8">
              <w:rPr>
                <w:b/>
              </w:rPr>
              <w:t>Exemple 1:</w:t>
            </w:r>
            <w:r w:rsidRPr="00B70AE8">
              <w:br/>
              <w:t xml:space="preserve">Dans le </w:t>
            </w:r>
            <w:r w:rsidRPr="00B70AE8">
              <w:rPr>
                <w:b/>
              </w:rPr>
              <w:t>circuit de vapeur et de condensat</w:t>
            </w:r>
            <w:r w:rsidRPr="00B70AE8">
              <w:t xml:space="preserve">, on ne présente pas le retour du condensat. Par conséquent, l’énergie fournie par la vapeur à un procédé correspond à l’enthalpie de la fourniture de vapeur (p. ex. vapeur saturée à 4,5 bars absolus) après déduction de l’enthalpie du retour du condensat (p. ex. condensat à 90 °C). </w:t>
            </w:r>
            <w:r w:rsidRPr="00B70AE8">
              <w:br/>
              <w:t xml:space="preserve">Il en va autrement dans une </w:t>
            </w:r>
            <w:r w:rsidRPr="00B70AE8">
              <w:rPr>
                <w:b/>
              </w:rPr>
              <w:t>utilisation directe de la vapeur</w:t>
            </w:r>
            <w:r w:rsidRPr="00B70AE8">
              <w:t>: dans ce cas, toute l’enthalpie va dans la vapeur utilisée dans le procédé et l’énergie fournie par la vapeur correspond à la fourniture de vapeur (p. ex. vapeur saturée à 4,5 bars absolus) après déduction de l’enthalpie de l’eau potable (p. ex. eau potable à 12 °C). Cette dernière retourne dans le système à vapeur sous forme d’eau d’alimentation.</w:t>
            </w:r>
          </w:p>
          <w:p w14:paraId="262466C6" w14:textId="77777777" w:rsidR="00E4458C" w:rsidRDefault="00E4458C" w:rsidP="000073BF">
            <w:pPr>
              <w:pStyle w:val="AuflistungHilfestellung"/>
              <w:numPr>
                <w:ilvl w:val="0"/>
                <w:numId w:val="37"/>
              </w:numPr>
            </w:pPr>
            <w:r w:rsidRPr="00B70AE8">
              <w:rPr>
                <w:b/>
              </w:rPr>
              <w:t>Exemple 2:</w:t>
            </w:r>
            <w:r w:rsidRPr="00B70AE8">
              <w:br/>
              <w:t xml:space="preserve">Dans le </w:t>
            </w:r>
            <w:r w:rsidRPr="00B70AE8">
              <w:rPr>
                <w:b/>
              </w:rPr>
              <w:t>circuit d’eau surchauffée ou d’eau chaude</w:t>
            </w:r>
            <w:r w:rsidRPr="00B70AE8">
              <w:t xml:space="preserve">, on ne présente que la différence d’enthalpie entre l’aller vers le procédé et le retour vers la production. Les pertes survenant dans le réseau de distribution (aller et retour) sont indiquées sous un nœud comme pertes de distribution. </w:t>
            </w:r>
          </w:p>
        </w:tc>
      </w:tr>
    </w:tbl>
    <w:p w14:paraId="32A4BC1D" w14:textId="77777777" w:rsidR="00E4458C" w:rsidRDefault="007413B3" w:rsidP="00401BD0">
      <w:pPr>
        <w:pStyle w:val="berschrift1"/>
      </w:pPr>
      <w:r w:rsidRPr="00E4458C">
        <w:rPr>
          <w:lang w:val="fr-CH"/>
        </w:rPr>
        <w:br w:type="page"/>
      </w:r>
      <w:bookmarkStart w:id="150" w:name="_Toc347303587"/>
      <w:bookmarkStart w:id="151" w:name="_Toc347853272"/>
      <w:bookmarkStart w:id="152" w:name="_Toc354127721"/>
      <w:bookmarkStart w:id="153" w:name="_Toc421696287"/>
      <w:r w:rsidR="00E4458C" w:rsidRPr="00B70AE8">
        <w:t>Auto-évaluation et mesures</w:t>
      </w:r>
      <w:bookmarkEnd w:id="150"/>
      <w:bookmarkEnd w:id="151"/>
      <w:bookmarkEnd w:id="152"/>
      <w:bookmarkEnd w:id="153"/>
    </w:p>
    <w:p w14:paraId="74D176CE" w14:textId="77777777" w:rsidR="00E4458C" w:rsidRDefault="00E4458C" w:rsidP="000073BF">
      <w:pPr>
        <w:pStyle w:val="berschrift2"/>
      </w:pPr>
      <w:bookmarkStart w:id="154" w:name="_Toc347303588"/>
      <w:bookmarkStart w:id="155" w:name="_Toc347853273"/>
      <w:bookmarkStart w:id="156" w:name="_Toc354127722"/>
      <w:bookmarkStart w:id="157" w:name="_Toc421696288"/>
      <w:r w:rsidRPr="00B70AE8">
        <w:t>Auto-évaluation, comparaison des procédés avec des benchmarks, «Meilleure technologie disponible»</w:t>
      </w:r>
      <w:bookmarkEnd w:id="154"/>
      <w:bookmarkEnd w:id="155"/>
      <w:bookmarkEnd w:id="156"/>
      <w:bookmarkEnd w:id="157"/>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E4458C" w:rsidRPr="00F82B1E" w14:paraId="2506EEDE" w14:textId="77777777" w:rsidTr="00E4458C">
        <w:trPr>
          <w:cantSplit/>
        </w:trPr>
        <w:tc>
          <w:tcPr>
            <w:tcW w:w="2181" w:type="dxa"/>
            <w:tcBorders>
              <w:bottom w:val="single" w:sz="4" w:space="0" w:color="auto"/>
            </w:tcBorders>
            <w:shd w:val="clear" w:color="auto" w:fill="F2F2F2"/>
          </w:tcPr>
          <w:p w14:paraId="22C7A79C" w14:textId="77777777" w:rsidR="00E4458C" w:rsidRDefault="00E4458C" w:rsidP="006D6A0A">
            <w:pPr>
              <w:pStyle w:val="Tabellentitel"/>
              <w:ind w:left="0" w:right="0"/>
            </w:pPr>
            <w:r w:rsidRPr="00B70AE8">
              <w:t>Introduction</w:t>
            </w:r>
          </w:p>
        </w:tc>
        <w:tc>
          <w:tcPr>
            <w:tcW w:w="7515" w:type="dxa"/>
            <w:tcBorders>
              <w:bottom w:val="single" w:sz="4" w:space="0" w:color="auto"/>
            </w:tcBorders>
            <w:shd w:val="clear" w:color="auto" w:fill="F2F2F2"/>
          </w:tcPr>
          <w:p w14:paraId="6075DF5D" w14:textId="77777777" w:rsidR="00E4458C" w:rsidRPr="00E4458C" w:rsidRDefault="00E4458C" w:rsidP="006D6A0A">
            <w:pPr>
              <w:ind w:left="0"/>
              <w:rPr>
                <w:lang w:val="fr-CH"/>
              </w:rPr>
            </w:pPr>
            <w:r w:rsidRPr="00E4458C">
              <w:rPr>
                <w:lang w:val="fr-CH"/>
              </w:rPr>
              <w:t xml:space="preserve">Dans ce chapitre, on évalue d’un œil critique l’efficacité énergétique de la production et, lorsque cela est possible, on effectue des comparaisons avec d’autres entreprises connues. </w:t>
            </w:r>
          </w:p>
        </w:tc>
      </w:tr>
      <w:tr w:rsidR="00E4458C" w:rsidRPr="00F82B1E" w14:paraId="505634F4" w14:textId="77777777" w:rsidTr="00E4458C">
        <w:trPr>
          <w:cantSplit/>
        </w:trPr>
        <w:tc>
          <w:tcPr>
            <w:tcW w:w="2181" w:type="dxa"/>
          </w:tcPr>
          <w:p w14:paraId="16068CB3" w14:textId="77777777" w:rsidR="00E4458C" w:rsidRDefault="00E4458C" w:rsidP="006D6A0A">
            <w:pPr>
              <w:pStyle w:val="Tabellentitel"/>
              <w:ind w:left="0" w:right="0"/>
            </w:pPr>
            <w:r w:rsidRPr="00B70AE8">
              <w:t xml:space="preserve">Description </w:t>
            </w:r>
            <w:r w:rsidR="00A66178">
              <w:br/>
            </w:r>
            <w:r w:rsidRPr="00B70AE8">
              <w:t>générale</w:t>
            </w:r>
          </w:p>
        </w:tc>
        <w:tc>
          <w:tcPr>
            <w:tcW w:w="7515" w:type="dxa"/>
            <w:shd w:val="clear" w:color="auto" w:fill="B9DAFF"/>
          </w:tcPr>
          <w:p w14:paraId="14505E89" w14:textId="77777777" w:rsidR="00E4458C" w:rsidRPr="00E4458C" w:rsidRDefault="00E4458C" w:rsidP="006D6A0A">
            <w:pPr>
              <w:ind w:left="0"/>
              <w:rPr>
                <w:lang w:val="fr-CH"/>
              </w:rPr>
            </w:pPr>
            <w:r w:rsidRPr="00E4458C">
              <w:rPr>
                <w:lang w:val="fr-CH"/>
              </w:rPr>
              <w:t>Si on déduit la consommation d’énergie finale pour le chauffage de la consommation d’énergie thermique finale totale, la consommation spécifique de notre entreprise est de l’ordre de 0,23 kWh</w:t>
            </w:r>
            <w:r w:rsidRPr="00E4458C">
              <w:rPr>
                <w:vertAlign w:val="subscript"/>
                <w:lang w:val="fr-CH"/>
              </w:rPr>
              <w:t>th</w:t>
            </w:r>
            <w:r w:rsidRPr="00E4458C">
              <w:rPr>
                <w:lang w:val="fr-CH"/>
              </w:rPr>
              <w:t xml:space="preserve"> par litre ou de 230 MWh par million de litres de lait transformé. Comme l’énergie thermique est produite exclusivement avec de l’huile de chauffage, l’entreprise émet près de 61 tonnes de CO</w:t>
            </w:r>
            <w:r w:rsidRPr="00E4458C">
              <w:rPr>
                <w:vertAlign w:val="subscript"/>
                <w:lang w:val="fr-CH"/>
              </w:rPr>
              <w:t>2</w:t>
            </w:r>
            <w:r w:rsidRPr="00E4458C">
              <w:rPr>
                <w:lang w:val="fr-CH"/>
              </w:rPr>
              <w:t xml:space="preserve"> par million de litres de lait transformé. Cette valeur est légèrement supérieure aux données dont nous disposons sur nos concurrents. Mais ces valeurs ne sont pas forcément comparables: en effet, la consommation d’énergie dépend dans une très large mesure du mix de produits. Dans notre cas, avec la part élevée de production de fromages (qui ont un besoin en énergie spécifique plus important) et la grande diversité des produits (qui requiert plus de nettoyages CIP), on s’attendait à une valeur de référence plutôt supérieure. </w:t>
            </w:r>
          </w:p>
          <w:p w14:paraId="6A476763" w14:textId="77777777" w:rsidR="00E4458C" w:rsidRPr="00E4458C" w:rsidRDefault="00E4458C" w:rsidP="006D6A0A">
            <w:pPr>
              <w:ind w:left="0"/>
              <w:rPr>
                <w:lang w:val="fr-CH"/>
              </w:rPr>
            </w:pPr>
            <w:r w:rsidRPr="00E4458C">
              <w:rPr>
                <w:lang w:val="fr-CH"/>
              </w:rPr>
              <w:t>Le nettoyage CIP automatisé avec recirculation, le bon taux d’utilisation de nos installations (peu de mode veille) et un échangeur à plaques avec récupération de chaleur largement dimensionné nous amènent à penser que notre site de production est aujourd’hui déjà très efficace. Nous voyons des potentiels d’économie dans le domaine de l’utilisation de la chaleur rejetée par les machines frigorifiques et de l’approvisionnement en énergie. En outre, nous aimerions passer de l’huile de chauffage au gaz, ce qui réduirait nos émissions de près de 25% mais nous ne disposons pas du réseau d’approvisionnement nécessaire.</w:t>
            </w:r>
          </w:p>
        </w:tc>
      </w:tr>
      <w:tr w:rsidR="00E4458C" w:rsidRPr="00F82B1E" w14:paraId="5A52FC58" w14:textId="77777777" w:rsidTr="00E4458C">
        <w:trPr>
          <w:cantSplit/>
        </w:trPr>
        <w:tc>
          <w:tcPr>
            <w:tcW w:w="2181" w:type="dxa"/>
            <w:shd w:val="clear" w:color="auto" w:fill="F2DBDB"/>
          </w:tcPr>
          <w:p w14:paraId="163A5560" w14:textId="77777777" w:rsidR="00E4458C" w:rsidRDefault="00E4458C" w:rsidP="006D6A0A">
            <w:pPr>
              <w:pStyle w:val="Tabellentitel"/>
              <w:ind w:left="0" w:right="0"/>
            </w:pPr>
            <w:r w:rsidRPr="00B70AE8">
              <w:t>Exigences</w:t>
            </w:r>
          </w:p>
        </w:tc>
        <w:tc>
          <w:tcPr>
            <w:tcW w:w="7515" w:type="dxa"/>
            <w:shd w:val="clear" w:color="auto" w:fill="F2DBDB"/>
          </w:tcPr>
          <w:p w14:paraId="56EA0A75"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Evaluation de l’efficacité énergétique des propres procédés en quelques phrases concises, si possible par:</w:t>
            </w:r>
          </w:p>
          <w:p w14:paraId="6BA00863" w14:textId="77777777" w:rsidR="00E4458C" w:rsidRDefault="00E4458C" w:rsidP="00A66178">
            <w:pPr>
              <w:pStyle w:val="AuflistungmitCheckbox"/>
              <w:numPr>
                <w:ilvl w:val="0"/>
                <w:numId w:val="38"/>
              </w:numPr>
              <w:ind w:left="709" w:hanging="349"/>
            </w:pPr>
            <w:r w:rsidRPr="00B70AE8">
              <w:t>Comparaison des propres valeurs de référence (c.-à-d. de l’indicateur de la consommation d’énergie divisé par la consommation d’énergie) avec des valeurs de référence connues (benchmarks) de la concurrence ou des valeurs disponibles dans la littérature.</w:t>
            </w:r>
          </w:p>
          <w:p w14:paraId="756EAEA7" w14:textId="77777777" w:rsidR="00E4458C" w:rsidRDefault="00E4458C" w:rsidP="00A66178">
            <w:pPr>
              <w:pStyle w:val="AuflistungmitCheckbox"/>
              <w:numPr>
                <w:ilvl w:val="0"/>
                <w:numId w:val="38"/>
              </w:numPr>
              <w:ind w:left="709" w:hanging="349"/>
            </w:pPr>
            <w:r w:rsidRPr="00B70AE8">
              <w:t>Comparaison des propres procédés avec les technologies les plus récentes ou «meilleures technologies disponibles».</w:t>
            </w:r>
          </w:p>
          <w:p w14:paraId="322F4411" w14:textId="77777777" w:rsidR="00E4458C" w:rsidRDefault="00E4458C" w:rsidP="00A66178">
            <w:pPr>
              <w:pStyle w:val="AuflistungmitCheckbox"/>
              <w:numPr>
                <w:ilvl w:val="0"/>
                <w:numId w:val="38"/>
              </w:numPr>
              <w:ind w:left="709" w:hanging="349"/>
            </w:pPr>
            <w:r w:rsidRPr="00B70AE8">
              <w:t>Examen qualitatif du potentiel d’économie identifié.</w:t>
            </w:r>
          </w:p>
        </w:tc>
      </w:tr>
      <w:tr w:rsidR="00E4458C" w:rsidRPr="00F82B1E" w14:paraId="0D5FCD63" w14:textId="77777777" w:rsidTr="00E4458C">
        <w:trPr>
          <w:cantSplit/>
        </w:trPr>
        <w:tc>
          <w:tcPr>
            <w:tcW w:w="2181" w:type="dxa"/>
            <w:shd w:val="clear" w:color="auto" w:fill="F2F2F2"/>
          </w:tcPr>
          <w:p w14:paraId="3CA79057" w14:textId="77777777" w:rsidR="00E4458C" w:rsidRDefault="00E4458C" w:rsidP="006D6A0A">
            <w:pPr>
              <w:pStyle w:val="Tabellentitel"/>
              <w:ind w:left="0" w:right="0"/>
            </w:pPr>
            <w:r w:rsidRPr="00B70AE8">
              <w:t>Aide</w:t>
            </w:r>
          </w:p>
        </w:tc>
        <w:tc>
          <w:tcPr>
            <w:tcW w:w="7515" w:type="dxa"/>
            <w:shd w:val="clear" w:color="auto" w:fill="F2F2F2"/>
          </w:tcPr>
          <w:p w14:paraId="03592151" w14:textId="77777777" w:rsidR="00E4458C" w:rsidRDefault="00E4458C" w:rsidP="00D72126">
            <w:pPr>
              <w:pStyle w:val="AuflistungHilfestellung"/>
            </w:pPr>
            <w:r w:rsidRPr="00B70AE8">
              <w:t>Les valeurs de référence (benchmarks) ne sont souvent pas transposables d’une entreprise à une autre. Cependant, elles peuvent servir lors de l’analyse d’une exploitation pour obtenir une première impression de l’efficacité énergétique ou de l’efficacité d’une production en ce qui concerne les émissions de gaz à effet de serre. Une «mauvaise» valeur de référence ne signifie toutefois encore de loin pas que la production n’est pas efficace. En revanche, une «bonne» valeur de référence par comparaison avec la concurrence est souvent une indication que le mode de production de l’entreprise est efficace. Dans ce chapitre, on doit examiner d’un œil critique et évaluer en quelques phrases concises la propre efficacité énergétique.</w:t>
            </w:r>
          </w:p>
        </w:tc>
      </w:tr>
    </w:tbl>
    <w:p w14:paraId="2F5701D8" w14:textId="77777777" w:rsidR="007413B3" w:rsidRPr="00E4458C" w:rsidRDefault="007413B3" w:rsidP="00595461">
      <w:pPr>
        <w:rPr>
          <w:lang w:val="fr-CH"/>
        </w:rPr>
      </w:pPr>
    </w:p>
    <w:p w14:paraId="37EE7BC2" w14:textId="77777777" w:rsidR="00293C0D" w:rsidRPr="00B4595A" w:rsidRDefault="002E02D4" w:rsidP="000073BF">
      <w:pPr>
        <w:pStyle w:val="berschrift2"/>
      </w:pPr>
      <w:r w:rsidRPr="00B4595A">
        <w:br w:type="page"/>
      </w:r>
      <w:bookmarkStart w:id="158" w:name="_Toc347303589"/>
      <w:bookmarkStart w:id="159" w:name="_Toc347853274"/>
      <w:bookmarkStart w:id="160" w:name="_Toc354127723"/>
      <w:bookmarkStart w:id="161" w:name="_Toc421696289"/>
      <w:r w:rsidR="00E4458C" w:rsidRPr="00B70AE8">
        <w:t>Liste des mesures (liste longue)</w:t>
      </w:r>
      <w:bookmarkEnd w:id="158"/>
      <w:bookmarkEnd w:id="159"/>
      <w:bookmarkEnd w:id="160"/>
      <w:bookmarkEnd w:id="161"/>
    </w:p>
    <w:tbl>
      <w:tblPr>
        <w:tblW w:w="9696" w:type="dxa"/>
        <w:tblInd w:w="680" w:type="dxa"/>
        <w:tblBorders>
          <w:top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181"/>
        <w:gridCol w:w="7515"/>
      </w:tblGrid>
      <w:tr w:rsidR="00E4458C" w:rsidRPr="00F82B1E" w14:paraId="31F20900" w14:textId="77777777" w:rsidTr="00E4458C">
        <w:trPr>
          <w:cantSplit/>
        </w:trPr>
        <w:tc>
          <w:tcPr>
            <w:tcW w:w="2181" w:type="dxa"/>
            <w:tcBorders>
              <w:bottom w:val="single" w:sz="4" w:space="0" w:color="auto"/>
            </w:tcBorders>
            <w:shd w:val="clear" w:color="auto" w:fill="F2F2F2"/>
          </w:tcPr>
          <w:p w14:paraId="530E9578" w14:textId="77777777" w:rsidR="00E4458C" w:rsidRDefault="00E4458C" w:rsidP="006D6A0A">
            <w:pPr>
              <w:pStyle w:val="Tabellentitel"/>
              <w:ind w:left="0"/>
            </w:pPr>
            <w:r w:rsidRPr="00B70AE8">
              <w:t>Introduction</w:t>
            </w:r>
          </w:p>
        </w:tc>
        <w:tc>
          <w:tcPr>
            <w:tcW w:w="7515" w:type="dxa"/>
            <w:tcBorders>
              <w:bottom w:val="single" w:sz="4" w:space="0" w:color="auto"/>
            </w:tcBorders>
            <w:shd w:val="clear" w:color="auto" w:fill="F2F2F2"/>
          </w:tcPr>
          <w:p w14:paraId="71890E2F" w14:textId="77777777" w:rsidR="00E4458C" w:rsidRPr="00E4458C" w:rsidRDefault="00E4458C" w:rsidP="006D6A0A">
            <w:pPr>
              <w:ind w:left="0" w:right="0"/>
              <w:rPr>
                <w:lang w:val="fr-CH"/>
              </w:rPr>
            </w:pPr>
            <w:r w:rsidRPr="00E4458C">
              <w:rPr>
                <w:lang w:val="fr-CH"/>
              </w:rPr>
              <w:t>Le tableau suivant décrit les mesures analysées. Les mesures dont la mise en œuvre est recommandée sont définies avec une date de réalisation.</w:t>
            </w:r>
          </w:p>
        </w:tc>
      </w:tr>
      <w:tr w:rsidR="000A2C0C" w:rsidRPr="00936B78" w14:paraId="7D1D422E" w14:textId="77777777" w:rsidTr="00E4458C">
        <w:trPr>
          <w:cantSplit/>
        </w:trPr>
        <w:tc>
          <w:tcPr>
            <w:tcW w:w="9696" w:type="dxa"/>
            <w:gridSpan w:val="2"/>
            <w:tcBorders>
              <w:bottom w:val="single" w:sz="4" w:space="0" w:color="auto"/>
            </w:tcBorders>
          </w:tcPr>
          <w:p w14:paraId="2D501C71" w14:textId="77777777" w:rsidR="000A2C0C" w:rsidRPr="00936B78" w:rsidRDefault="00C47AA9" w:rsidP="006D6A0A">
            <w:pPr>
              <w:pStyle w:val="Bild"/>
              <w:ind w:left="0" w:right="0"/>
            </w:pPr>
            <w:r>
              <w:drawing>
                <wp:inline distT="0" distB="0" distL="0" distR="0" wp14:anchorId="58A85559" wp14:editId="4CDF0F13">
                  <wp:extent cx="6069965" cy="3405505"/>
                  <wp:effectExtent l="19050" t="0" r="6985"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srcRect/>
                          <a:stretch>
                            <a:fillRect/>
                          </a:stretch>
                        </pic:blipFill>
                        <pic:spPr bwMode="auto">
                          <a:xfrm>
                            <a:off x="0" y="0"/>
                            <a:ext cx="6069965" cy="3405505"/>
                          </a:xfrm>
                          <a:prstGeom prst="rect">
                            <a:avLst/>
                          </a:prstGeom>
                          <a:noFill/>
                          <a:ln w="9525">
                            <a:noFill/>
                            <a:miter lim="800000"/>
                            <a:headEnd/>
                            <a:tailEnd/>
                          </a:ln>
                        </pic:spPr>
                      </pic:pic>
                    </a:graphicData>
                  </a:graphic>
                </wp:inline>
              </w:drawing>
            </w:r>
          </w:p>
          <w:p w14:paraId="755FF3EA" w14:textId="77777777" w:rsidR="000A2C0C" w:rsidRPr="00936B78" w:rsidRDefault="00E4458C" w:rsidP="00757FB5">
            <w:pPr>
              <w:pStyle w:val="BildTabellenbeschriftung"/>
            </w:pPr>
            <w:bookmarkStart w:id="162" w:name="_Toc354127745"/>
            <w:bookmarkStart w:id="163" w:name="_Toc421696315"/>
            <w:r w:rsidRPr="00B70AE8">
              <w:t xml:space="preserve">Tableau </w:t>
            </w:r>
            <w:r w:rsidR="00AE6C37">
              <w:fldChar w:fldCharType="begin"/>
            </w:r>
            <w:r w:rsidR="00AE6C37">
              <w:instrText xml:space="preserve"> SEQ Tabelle \* ARABIC </w:instrText>
            </w:r>
            <w:r w:rsidR="00AE6C37">
              <w:fldChar w:fldCharType="separate"/>
            </w:r>
            <w:r w:rsidR="00FD6355">
              <w:t>19</w:t>
            </w:r>
            <w:r w:rsidR="00AE6C37">
              <w:fldChar w:fldCharType="end"/>
            </w:r>
            <w:r w:rsidRPr="00B70AE8">
              <w:t xml:space="preserve"> (tableau des mesures)</w:t>
            </w:r>
            <w:bookmarkEnd w:id="162"/>
            <w:bookmarkEnd w:id="163"/>
          </w:p>
        </w:tc>
      </w:tr>
      <w:tr w:rsidR="00E4458C" w:rsidRPr="00A66178" w14:paraId="15D152CE" w14:textId="77777777" w:rsidTr="00E4458C">
        <w:trPr>
          <w:cantSplit/>
        </w:trPr>
        <w:tc>
          <w:tcPr>
            <w:tcW w:w="2181" w:type="dxa"/>
          </w:tcPr>
          <w:p w14:paraId="6680C762" w14:textId="77777777" w:rsidR="00E4458C" w:rsidRPr="00A66178" w:rsidRDefault="00E4458C" w:rsidP="00D75AC2">
            <w:pPr>
              <w:pStyle w:val="Tabellentitel"/>
              <w:ind w:left="0" w:right="0"/>
              <w:rPr>
                <w:lang w:val="fr-CH"/>
              </w:rPr>
            </w:pPr>
            <w:r w:rsidRPr="00A66178">
              <w:rPr>
                <w:lang w:val="fr-CH"/>
              </w:rPr>
              <w:t xml:space="preserve">Description </w:t>
            </w:r>
            <w:r w:rsidR="00A66178" w:rsidRPr="00A66178">
              <w:rPr>
                <w:lang w:val="fr-CH"/>
              </w:rPr>
              <w:br/>
            </w:r>
            <w:r w:rsidRPr="00A66178">
              <w:rPr>
                <w:lang w:val="fr-CH"/>
              </w:rPr>
              <w:t>générale</w:t>
            </w:r>
          </w:p>
        </w:tc>
        <w:tc>
          <w:tcPr>
            <w:tcW w:w="7515" w:type="dxa"/>
            <w:tcBorders>
              <w:bottom w:val="single" w:sz="4" w:space="0" w:color="auto"/>
            </w:tcBorders>
            <w:shd w:val="clear" w:color="auto" w:fill="B9DAFF"/>
          </w:tcPr>
          <w:p w14:paraId="756DF15C" w14:textId="77777777" w:rsidR="00E4458C" w:rsidRPr="00A66178" w:rsidRDefault="00E4458C" w:rsidP="00D75AC2">
            <w:pPr>
              <w:ind w:left="0" w:right="0"/>
              <w:rPr>
                <w:lang w:val="fr-CH"/>
              </w:rPr>
            </w:pPr>
            <w:r w:rsidRPr="00A66178">
              <w:rPr>
                <w:lang w:val="fr-CH"/>
              </w:rPr>
              <w:t xml:space="preserve">Aucune. </w:t>
            </w:r>
          </w:p>
        </w:tc>
      </w:tr>
      <w:tr w:rsidR="00E4458C" w:rsidRPr="00F82B1E" w14:paraId="5FA43611" w14:textId="77777777" w:rsidTr="00E4458C">
        <w:trPr>
          <w:cantSplit/>
        </w:trPr>
        <w:tc>
          <w:tcPr>
            <w:tcW w:w="2181" w:type="dxa"/>
          </w:tcPr>
          <w:p w14:paraId="1A627065" w14:textId="77777777" w:rsidR="00E4458C" w:rsidRPr="00A66178" w:rsidRDefault="00E4458C" w:rsidP="00D75AC2">
            <w:pPr>
              <w:pStyle w:val="Tabellentitel"/>
              <w:ind w:left="0" w:right="0"/>
              <w:rPr>
                <w:lang w:val="fr-CH"/>
              </w:rPr>
            </w:pPr>
            <w:r w:rsidRPr="00A66178">
              <w:rPr>
                <w:lang w:val="fr-CH"/>
              </w:rPr>
              <w:t xml:space="preserve">Description des </w:t>
            </w:r>
            <w:r w:rsidRPr="00A66178">
              <w:rPr>
                <w:lang w:val="fr-CH"/>
              </w:rPr>
              <w:br/>
              <w:t xml:space="preserve">différents points: </w:t>
            </w:r>
          </w:p>
        </w:tc>
        <w:tc>
          <w:tcPr>
            <w:tcW w:w="7515" w:type="dxa"/>
            <w:shd w:val="clear" w:color="auto" w:fill="B9DAFF"/>
          </w:tcPr>
          <w:p w14:paraId="4D7E9813" w14:textId="5E884809" w:rsidR="00E4458C" w:rsidRPr="00497BF1" w:rsidRDefault="00E4458C" w:rsidP="000D4B44">
            <w:pPr>
              <w:pStyle w:val="NummerierteAufzhlung"/>
              <w:numPr>
                <w:ilvl w:val="0"/>
                <w:numId w:val="23"/>
              </w:numPr>
              <w:spacing w:after="0"/>
              <w:rPr>
                <w:lang w:val="fr-CH"/>
              </w:rPr>
            </w:pPr>
            <w:r w:rsidRPr="00497BF1">
              <w:rPr>
                <w:lang w:val="fr-CH"/>
              </w:rPr>
              <w:t>Récupération des eaux usées CIP à env. 60 °C dans un réservoir d’accumulation de 6 à 9 m</w:t>
            </w:r>
            <w:r w:rsidRPr="00497BF1">
              <w:rPr>
                <w:vertAlign w:val="superscript"/>
                <w:lang w:val="fr-CH"/>
              </w:rPr>
              <w:t>3</w:t>
            </w:r>
            <w:r w:rsidRPr="00497BF1">
              <w:rPr>
                <w:lang w:val="fr-CH"/>
              </w:rPr>
              <w:t>. Préchauffage d’env. 16’400 m</w:t>
            </w:r>
            <w:r w:rsidRPr="00497BF1">
              <w:rPr>
                <w:vertAlign w:val="superscript"/>
                <w:lang w:val="fr-CH"/>
              </w:rPr>
              <w:t>3</w:t>
            </w:r>
            <w:r w:rsidRPr="00497BF1">
              <w:rPr>
                <w:lang w:val="fr-CH"/>
              </w:rPr>
              <w:t xml:space="preserve">/an d’eau CIP de 12 °C à env. 35 °C par un échangeur de chaleur à plaques. En raison du manque </w:t>
            </w:r>
            <w:r w:rsidR="00F82B1E">
              <w:rPr>
                <w:lang w:val="fr-CH"/>
              </w:rPr>
              <w:t>de simultanéité, on estime que 80</w:t>
            </w:r>
            <w:r w:rsidRPr="00497BF1">
              <w:rPr>
                <w:lang w:val="fr-CH"/>
              </w:rPr>
              <w:t>% de la chaleur est récupérée. Coûts: env. 30’000 CHF pour le réservoir, installation comprise, 50'000 CHF pour l’échangeur de chaleur, 30’000 CHF pour la tuyauterie, pour les dispositifs de mesure, de commande et de réglage et pour l’installation électrique. Cette mesure est rejetée car elle présente un moins bon retour sur investissement que la mesure 2.</w:t>
            </w:r>
          </w:p>
          <w:p w14:paraId="0C9CF263" w14:textId="77777777" w:rsidR="00E4458C" w:rsidRDefault="00E4458C" w:rsidP="000D4B44">
            <w:pPr>
              <w:pStyle w:val="NummerierteAufzhlung"/>
              <w:numPr>
                <w:ilvl w:val="0"/>
                <w:numId w:val="6"/>
              </w:numPr>
              <w:spacing w:after="0"/>
              <w:rPr>
                <w:lang w:val="fr-CH"/>
              </w:rPr>
            </w:pPr>
            <w:r w:rsidRPr="00B70AE8">
              <w:rPr>
                <w:lang w:val="fr-CH"/>
              </w:rPr>
              <w:t>Utilisation de la chaleur rejetée par la machine frigorifique avant le condensateur à l’aide d’un désurchauffeur pour préchauffer l’eau CIP.</w:t>
            </w:r>
            <w:r w:rsidRPr="00B70AE8">
              <w:rPr>
                <w:b/>
                <w:lang w:val="fr-CH"/>
              </w:rPr>
              <w:t xml:space="preserve"> </w:t>
            </w:r>
            <w:r w:rsidRPr="00A66178">
              <w:rPr>
                <w:lang w:val="fr-CH"/>
              </w:rPr>
              <w:t>Cette mesure ne peut être réalisée que si la mesure 1 n’est pas mise en œuvre!</w:t>
            </w:r>
            <w:r w:rsidRPr="00A66178">
              <w:rPr>
                <w:lang w:val="fr-CH"/>
              </w:rPr>
              <w:br/>
            </w:r>
            <w:r w:rsidRPr="00B70AE8">
              <w:rPr>
                <w:lang w:val="fr-CH"/>
              </w:rPr>
              <w:t>Coûts:</w:t>
            </w:r>
            <w:r w:rsidRPr="00B70AE8">
              <w:rPr>
                <w:b/>
                <w:lang w:val="fr-CH"/>
              </w:rPr>
              <w:t xml:space="preserve"> </w:t>
            </w:r>
            <w:r w:rsidRPr="00B70AE8">
              <w:rPr>
                <w:lang w:val="fr-CH"/>
              </w:rPr>
              <w:t>env. 70’000 CHF pour le désurchauffeur, installation et raccordement compris. Env. 30’000 CHF pour la transformation de la conduite, 40’000 CHF pour les raccordements et les réglages. Les données de conception figurent dans l’offre.</w:t>
            </w:r>
          </w:p>
          <w:p w14:paraId="7C0B7F80" w14:textId="77777777" w:rsidR="00E4458C" w:rsidRDefault="00E4458C" w:rsidP="000D4B44">
            <w:pPr>
              <w:pStyle w:val="NummerierteAufzhlung"/>
              <w:numPr>
                <w:ilvl w:val="0"/>
                <w:numId w:val="4"/>
              </w:numPr>
              <w:spacing w:after="0"/>
              <w:rPr>
                <w:lang w:val="fr-CH"/>
              </w:rPr>
            </w:pPr>
            <w:r w:rsidRPr="00B70AE8">
              <w:rPr>
                <w:lang w:val="fr-CH"/>
              </w:rPr>
              <w:t xml:space="preserve">Utilisation d’une pompe à chaleur haute pression au lieu de la machine frigorifique afin de produire de l’eau chaude à 65 °C pour le chauffage des locaux, les CIP A, B, C et le fromage 2. Cette mesure doit être réalisée conjointement avec la mesure 2. </w:t>
            </w:r>
          </w:p>
          <w:p w14:paraId="602752E6" w14:textId="77777777" w:rsidR="00E4458C" w:rsidRDefault="00E4458C" w:rsidP="000D4B44">
            <w:pPr>
              <w:pStyle w:val="NummerierteAufzhlung"/>
              <w:numPr>
                <w:ilvl w:val="0"/>
                <w:numId w:val="4"/>
              </w:numPr>
              <w:spacing w:after="0"/>
              <w:rPr>
                <w:lang w:val="fr-CH"/>
              </w:rPr>
            </w:pPr>
            <w:r w:rsidRPr="00B70AE8">
              <w:rPr>
                <w:lang w:val="fr-CH"/>
              </w:rPr>
              <w:t>Récupérateur de chaleur des fumées «Economizer» dans la chaudière 2 et réduction des pertes par les fumées de 15 à 7%, comme pour la chaudière 1. On a calculé l’économie sur la base de la consommation d’huile de chauffage de la chaudière 2 en 2011 (1’390’000 kWh/an). On a estimé approximativement les coûts d’investissement (20’000 CHF pour l’échangeur de chaleur selon l’offre d’Ygnis, 30’000 CHF pour les raccordements, la transformation, les adaptations de la cheminée, le réglage et la planification).</w:t>
            </w:r>
          </w:p>
        </w:tc>
      </w:tr>
      <w:tr w:rsidR="00E4458C" w:rsidRPr="00F82B1E" w14:paraId="37449438" w14:textId="77777777" w:rsidTr="00E4458C">
        <w:trPr>
          <w:cantSplit/>
        </w:trPr>
        <w:tc>
          <w:tcPr>
            <w:tcW w:w="2181" w:type="dxa"/>
            <w:shd w:val="clear" w:color="auto" w:fill="F2DBDB"/>
          </w:tcPr>
          <w:p w14:paraId="39BB1553" w14:textId="77777777" w:rsidR="00E4458C" w:rsidRDefault="00E4458C" w:rsidP="00497BF1">
            <w:pPr>
              <w:pStyle w:val="Tabellentitel"/>
              <w:ind w:left="0"/>
            </w:pPr>
            <w:r w:rsidRPr="00B70AE8">
              <w:t>Exigences</w:t>
            </w:r>
          </w:p>
        </w:tc>
        <w:tc>
          <w:tcPr>
            <w:tcW w:w="7515" w:type="dxa"/>
            <w:shd w:val="clear" w:color="auto" w:fill="F2DBDB"/>
          </w:tcPr>
          <w:p w14:paraId="592DE140"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Liste des mesures rentables et non rentables analysées avec le potentiel d’économie et l’estimation des coûts d’investissement.</w:t>
            </w:r>
          </w:p>
          <w:p w14:paraId="502734C2" w14:textId="7EA01780"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Saisie et description de la «Part Coûts Energie» en multiple de 25%.</w:t>
            </w:r>
            <w:r w:rsidR="007312DD">
              <w:t xml:space="preserve"> Les parts inférieures à 25% peuvent être indiquées </w:t>
            </w:r>
            <w:r w:rsidR="00BE37EA" w:rsidRPr="009E29D7">
              <w:t>en tranches plus fines.</w:t>
            </w:r>
          </w:p>
          <w:p w14:paraId="0B1FCE85"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Description compréhensible du calcul du potentiel d’économie des différentes énergies.</w:t>
            </w:r>
          </w:p>
          <w:p w14:paraId="5E428833"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Description qualitative de la mise en œuvre des mesures ou du but des mesures.</w:t>
            </w:r>
          </w:p>
          <w:p w14:paraId="396FFC19"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Description des principales caractéristiques de la conception telles que la température d’entrée, la température de sortie et les flux de masse.</w:t>
            </w:r>
          </w:p>
          <w:p w14:paraId="18271052" w14:textId="67C63CD3"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Indication de la date de mise en œuvre prévue des mesures rentables dont la réalisation a été recommandée. En outre, indication de la période pendant laquelle ces mesures déploieront leurs effets (en règle générale jusqu’au 31.12.2020</w:t>
            </w:r>
            <w:r w:rsidR="00AD6E31">
              <w:t xml:space="preserve"> ou jusqu’à la fin de la période obligatoire de 10 ans</w:t>
            </w:r>
            <w:r w:rsidR="00E4458C" w:rsidRPr="00B70AE8">
              <w:t>). Brève justification de la date de mise en œuvre pour les mesures qui ne seront pas prises les premières années.</w:t>
            </w:r>
          </w:p>
          <w:p w14:paraId="2DA9C6F9"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Indication de la raison de la non-réalisation d’une mesure rentable.</w:t>
            </w:r>
          </w:p>
          <w:p w14:paraId="6543063D"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t>Pour les mesures avec réduction des émissions géogènes, des émissions de CO</w:t>
            </w:r>
            <w:r w:rsidR="00E4458C" w:rsidRPr="00B70AE8">
              <w:rPr>
                <w:vertAlign w:val="subscript"/>
              </w:rPr>
              <w:t>2</w:t>
            </w:r>
            <w:r w:rsidR="00E4458C" w:rsidRPr="00B70AE8">
              <w:t xml:space="preserve"> fossiles générées par les procédés de production, des émissions de N</w:t>
            </w:r>
            <w:r w:rsidR="00E4458C" w:rsidRPr="00B70AE8">
              <w:rPr>
                <w:vertAlign w:val="subscript"/>
              </w:rPr>
              <w:t>2</w:t>
            </w:r>
            <w:r w:rsidR="00E4458C" w:rsidRPr="00B70AE8">
              <w:t>O ou d’hydrocarbures perfluorés: justification quantitative de la réduction.</w:t>
            </w:r>
          </w:p>
          <w:p w14:paraId="57532C73"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rPr>
                <w:b/>
              </w:rPr>
              <w:t>Facultatif:</w:t>
            </w:r>
            <w:r w:rsidR="00E4458C" w:rsidRPr="00B70AE8">
              <w:t xml:space="preserve"> établir l’ordre de priorité des mesures sur la base des critères de rentabilité, de faisabilité (technique), de complexité (description des critères sous le tableau).</w:t>
            </w:r>
          </w:p>
          <w:p w14:paraId="2CDD0CE6" w14:textId="77777777" w:rsidR="00E4458C" w:rsidRDefault="003714FF" w:rsidP="00D72126">
            <w:pPr>
              <w:pStyle w:val="AuflistungmitCheckbox"/>
            </w:pPr>
            <w:r w:rsidRPr="00B70AE8">
              <w:rPr>
                <w:rFonts w:ascii="Wingdings" w:hAnsi="Wingdings"/>
                <w:highlight w:val="lightGray"/>
              </w:rPr>
              <w:fldChar w:fldCharType="begin">
                <w:ffData>
                  <w:name w:val="Kontrollkästchen3"/>
                  <w:enabled/>
                  <w:calcOnExit w:val="0"/>
                  <w:checkBox>
                    <w:sizeAuto/>
                    <w:default w:val="0"/>
                  </w:checkBox>
                </w:ffData>
              </w:fldChar>
            </w:r>
            <w:r w:rsidR="00E4458C" w:rsidRPr="00B70AE8">
              <w:rPr>
                <w:rFonts w:ascii="Wingdings" w:hAnsi="Wingdings"/>
                <w:highlight w:val="lightGray"/>
              </w:rPr>
              <w:instrText xml:space="preserve"> FORMCHECKBOX </w:instrText>
            </w:r>
            <w:r w:rsidR="00584FFB">
              <w:rPr>
                <w:rFonts w:ascii="Wingdings" w:hAnsi="Wingdings"/>
                <w:highlight w:val="lightGray"/>
              </w:rPr>
            </w:r>
            <w:r w:rsidR="00584FFB">
              <w:rPr>
                <w:rFonts w:ascii="Wingdings" w:hAnsi="Wingdings"/>
                <w:highlight w:val="lightGray"/>
              </w:rPr>
              <w:fldChar w:fldCharType="separate"/>
            </w:r>
            <w:r w:rsidRPr="00B70AE8">
              <w:rPr>
                <w:rFonts w:ascii="Wingdings" w:hAnsi="Wingdings"/>
                <w:highlight w:val="lightGray"/>
              </w:rPr>
              <w:fldChar w:fldCharType="end"/>
            </w:r>
            <w:r w:rsidR="00E4458C" w:rsidRPr="00B70AE8">
              <w:rPr>
                <w:rFonts w:ascii="Wingdings" w:hAnsi="Wingdings"/>
              </w:rPr>
              <w:tab/>
            </w:r>
            <w:r w:rsidR="00E4458C" w:rsidRPr="00B70AE8">
              <w:rPr>
                <w:b/>
              </w:rPr>
              <w:t>Facultatif:</w:t>
            </w:r>
            <w:r w:rsidR="00E4458C" w:rsidRPr="00B70AE8">
              <w:t xml:space="preserve"> si la non-rentabilité d’une mesure n’est pas la principale raison de sa non-réalisation: indication des autres raisons.</w:t>
            </w:r>
          </w:p>
        </w:tc>
      </w:tr>
      <w:tr w:rsidR="00E4458C" w:rsidRPr="00F82B1E" w14:paraId="052ED52D" w14:textId="77777777" w:rsidTr="00E4458C">
        <w:trPr>
          <w:cantSplit/>
        </w:trPr>
        <w:tc>
          <w:tcPr>
            <w:tcW w:w="2181" w:type="dxa"/>
            <w:shd w:val="clear" w:color="auto" w:fill="F2F2F2"/>
          </w:tcPr>
          <w:p w14:paraId="5CF6F8D1" w14:textId="77777777" w:rsidR="00E4458C" w:rsidRDefault="00E4458C" w:rsidP="00497BF1">
            <w:pPr>
              <w:pStyle w:val="Tabellentitel"/>
              <w:ind w:left="0"/>
            </w:pPr>
            <w:r w:rsidRPr="00B70AE8">
              <w:t>Aide</w:t>
            </w:r>
          </w:p>
        </w:tc>
        <w:tc>
          <w:tcPr>
            <w:tcW w:w="7515" w:type="dxa"/>
            <w:shd w:val="clear" w:color="auto" w:fill="F2F2F2"/>
          </w:tcPr>
          <w:p w14:paraId="09B446EA" w14:textId="77777777" w:rsidR="00E4458C" w:rsidRPr="00E4458C" w:rsidRDefault="00E4458C" w:rsidP="00E4458C">
            <w:pPr>
              <w:pStyle w:val="AuflistungmitHaken"/>
              <w:ind w:right="0"/>
              <w:rPr>
                <w:lang w:val="fr-CH"/>
              </w:rPr>
            </w:pPr>
            <w:r w:rsidRPr="00E4458C">
              <w:rPr>
                <w:b/>
                <w:lang w:val="fr-CH"/>
              </w:rPr>
              <w:t>En général:</w:t>
            </w:r>
            <w:r w:rsidRPr="00E4458C">
              <w:rPr>
                <w:lang w:val="fr-CH"/>
              </w:rPr>
              <w:t xml:space="preserve"> les bases élaborées dans le présent guide sur l’analyse des potentiels donnent un bon aperçu, relativement complet, des flux d’énergie dans une entreprise. Dans l’ensemble, remplir ce guide avec le degré de détails requis devrait donner une image globale de la situation énergétique avec les possibilités d’optimalisation prioritaires ou secondaires. L’analyse des potentiels doit servir de «boussole» pour élaborer par la suite les mesures d’économies.</w:t>
            </w:r>
          </w:p>
          <w:p w14:paraId="64114271" w14:textId="688D0C91" w:rsidR="00E4458C" w:rsidRPr="00E4458C" w:rsidRDefault="00E4458C" w:rsidP="00AD6E31">
            <w:pPr>
              <w:pStyle w:val="AuflistungmitHaken"/>
              <w:ind w:right="0"/>
              <w:rPr>
                <w:lang w:val="fr-CH"/>
              </w:rPr>
            </w:pPr>
            <w:r w:rsidRPr="00E4458C">
              <w:rPr>
                <w:lang w:val="fr-CH"/>
              </w:rPr>
              <w:t>La «Part Coûts Energie» d’une mesure est la part de l’investissement total qui a été effectué exclusivement en vue de réduire les émissions de gaz à effet de serre et d’économiser de l’énergie. En cas de remplacement d’une chaudière défectueuse p. ex., il faut indiquer comme «Part Coûts Energie» uniquement les coûts de l’investissement supplémentaire (p. ex. récupération de la chaleur des fumées supplémentaire). Une mesure visant uniquement à conserver la valeur a une «Part Coûts Energie» de 0%. La «Part Coûts Energie» doit être indiquée en multiple de 25%</w:t>
            </w:r>
            <w:r w:rsidR="00AD6E31">
              <w:rPr>
                <w:lang w:val="fr-CH"/>
              </w:rPr>
              <w:t xml:space="preserve"> (</w:t>
            </w:r>
            <w:r w:rsidR="00AD6E31" w:rsidRPr="009E29D7">
              <w:rPr>
                <w:lang w:val="fr-CH"/>
              </w:rPr>
              <w:t xml:space="preserve">âge </w:t>
            </w:r>
            <w:r w:rsidR="00AD6E31">
              <w:rPr>
                <w:lang w:val="fr-CH"/>
              </w:rPr>
              <w:t>de l’installation par rapport à sa durée de vie technique)</w:t>
            </w:r>
            <w:r w:rsidRPr="00E4458C">
              <w:rPr>
                <w:lang w:val="fr-CH"/>
              </w:rPr>
              <w:t xml:space="preserve">. </w:t>
            </w:r>
            <w:r w:rsidR="00F45EA2">
              <w:rPr>
                <w:lang w:val="fr-CH"/>
              </w:rPr>
              <w:t xml:space="preserve">La directive </w:t>
            </w:r>
            <w:r w:rsidR="00F45EA2" w:rsidRPr="00F45EA2">
              <w:rPr>
                <w:lang w:val="fr-CH"/>
              </w:rPr>
              <w:t>C</w:t>
            </w:r>
            <w:r w:rsidR="00F45EA2" w:rsidRPr="009E29D7">
              <w:rPr>
                <w:lang w:val="fr-CH"/>
              </w:rPr>
              <w:t>onventions d’objectifs conclues avec la Confédération et visant l’amélioration de l’efficacité énergétique</w:t>
            </w:r>
            <w:r w:rsidR="00F45EA2">
              <w:rPr>
                <w:lang w:val="fr-CH"/>
              </w:rPr>
              <w:t xml:space="preserve"> (annexe 4) comprend des informations détaillées quant à la détermination de cette part.</w:t>
            </w:r>
          </w:p>
        </w:tc>
      </w:tr>
      <w:tr w:rsidR="00E4458C" w:rsidRPr="00F53030" w14:paraId="0EB3EB5B" w14:textId="77777777" w:rsidTr="00E4458C">
        <w:trPr>
          <w:cantSplit/>
        </w:trPr>
        <w:tc>
          <w:tcPr>
            <w:tcW w:w="2181" w:type="dxa"/>
            <w:shd w:val="clear" w:color="auto" w:fill="F2F2F2"/>
          </w:tcPr>
          <w:p w14:paraId="70B4D6F1" w14:textId="77777777" w:rsidR="00E4458C" w:rsidRDefault="00E4458C" w:rsidP="00497BF1">
            <w:pPr>
              <w:pStyle w:val="Tabellentitel"/>
              <w:ind w:left="0"/>
            </w:pPr>
            <w:r w:rsidRPr="00B70AE8">
              <w:t>Aide</w:t>
            </w:r>
          </w:p>
        </w:tc>
        <w:tc>
          <w:tcPr>
            <w:tcW w:w="7515" w:type="dxa"/>
            <w:shd w:val="clear" w:color="auto" w:fill="F2F2F2"/>
          </w:tcPr>
          <w:p w14:paraId="64A6D336" w14:textId="4F480CCF" w:rsidR="00E4458C" w:rsidRPr="00A66178" w:rsidRDefault="00E4458C" w:rsidP="00A66178">
            <w:pPr>
              <w:pStyle w:val="AuflistungHilfestellung"/>
              <w:numPr>
                <w:ilvl w:val="0"/>
                <w:numId w:val="0"/>
              </w:numPr>
              <w:ind w:left="312" w:hanging="312"/>
              <w:rPr>
                <w:b/>
              </w:rPr>
            </w:pPr>
            <w:r w:rsidRPr="00A66178">
              <w:rPr>
                <w:b/>
              </w:rPr>
              <w:t xml:space="preserve">(1) Optimisation énergétique classique (avec le soutien </w:t>
            </w:r>
            <w:r w:rsidRPr="00F45EA2">
              <w:rPr>
                <w:b/>
              </w:rPr>
              <w:t>de</w:t>
            </w:r>
            <w:r w:rsidR="00F45EA2" w:rsidRPr="00F45EA2">
              <w:rPr>
                <w:b/>
              </w:rPr>
              <w:t xml:space="preserve"> </w:t>
            </w:r>
            <w:r w:rsidR="00F45EA2" w:rsidRPr="008A5573">
              <w:rPr>
                <w:b/>
              </w:rPr>
              <w:t>l’Agence Cleantech Suisse act ou de</w:t>
            </w:r>
            <w:r w:rsidRPr="00A66178">
              <w:rPr>
                <w:b/>
              </w:rPr>
              <w:t xml:space="preserve"> l’Agence de l’énergie pour l’économie AEnEc)</w:t>
            </w:r>
          </w:p>
          <w:p w14:paraId="6F019B9A" w14:textId="77777777" w:rsidR="00E4458C" w:rsidRDefault="00E4458C" w:rsidP="00A66178">
            <w:pPr>
              <w:pStyle w:val="AuflistungHilfestellung"/>
              <w:numPr>
                <w:ilvl w:val="0"/>
                <w:numId w:val="0"/>
              </w:numPr>
            </w:pPr>
            <w:r w:rsidRPr="00B70AE8">
              <w:t>L’Agence de l’énergie pour l’économie (AEnEc) a développé une application qui permet de collecter de manière standardisée les principales mesures relatives aux infrastructures. Lors de l’élaboration de mesures, il est recommandé de recourir aux connaissances rassemblées par l’AEnEc.</w:t>
            </w:r>
          </w:p>
          <w:p w14:paraId="2BBB4CBF" w14:textId="77777777" w:rsidR="00E4458C" w:rsidRDefault="00E4458C" w:rsidP="00A66178">
            <w:pPr>
              <w:pStyle w:val="AuflistungHilfestellung"/>
              <w:numPr>
                <w:ilvl w:val="0"/>
                <w:numId w:val="39"/>
              </w:numPr>
            </w:pPr>
            <w:r w:rsidRPr="00B70AE8">
              <w:t>L’application couvre les domaines suivants:</w:t>
            </w:r>
          </w:p>
          <w:p w14:paraId="4B7C0125" w14:textId="77777777" w:rsidR="00E4458C" w:rsidRDefault="00E4458C" w:rsidP="00A66178">
            <w:pPr>
              <w:pStyle w:val="AuflistungmitCheckbox"/>
              <w:numPr>
                <w:ilvl w:val="0"/>
                <w:numId w:val="39"/>
              </w:numPr>
            </w:pPr>
            <w:r w:rsidRPr="00B70AE8">
              <w:t>Production de chaleur</w:t>
            </w:r>
          </w:p>
          <w:p w14:paraId="6F44C666" w14:textId="77777777" w:rsidR="00E4458C" w:rsidRDefault="00E4458C" w:rsidP="00A66178">
            <w:pPr>
              <w:pStyle w:val="AuflistungmitCheckbox"/>
              <w:numPr>
                <w:ilvl w:val="0"/>
                <w:numId w:val="39"/>
              </w:numPr>
            </w:pPr>
            <w:r w:rsidRPr="00B70AE8">
              <w:t>Distribution de chaleur</w:t>
            </w:r>
          </w:p>
          <w:p w14:paraId="3C7C2EB7" w14:textId="77777777" w:rsidR="00E4458C" w:rsidRDefault="00E4458C" w:rsidP="00A66178">
            <w:pPr>
              <w:pStyle w:val="AuflistungmitCheckbox"/>
              <w:numPr>
                <w:ilvl w:val="0"/>
                <w:numId w:val="39"/>
              </w:numPr>
            </w:pPr>
            <w:r w:rsidRPr="00B70AE8">
              <w:t>Emission de chaleur</w:t>
            </w:r>
          </w:p>
          <w:p w14:paraId="0318FF78" w14:textId="77777777" w:rsidR="00E4458C" w:rsidRDefault="00E4458C" w:rsidP="00A66178">
            <w:pPr>
              <w:pStyle w:val="AuflistungmitCheckbox"/>
              <w:numPr>
                <w:ilvl w:val="0"/>
                <w:numId w:val="39"/>
              </w:numPr>
            </w:pPr>
            <w:r w:rsidRPr="00B70AE8">
              <w:t>Eau chaude</w:t>
            </w:r>
          </w:p>
          <w:p w14:paraId="710D6207" w14:textId="77777777" w:rsidR="00E4458C" w:rsidRDefault="00E4458C" w:rsidP="00A66178">
            <w:pPr>
              <w:pStyle w:val="AuflistungmitCheckbox"/>
              <w:numPr>
                <w:ilvl w:val="0"/>
                <w:numId w:val="39"/>
              </w:numPr>
            </w:pPr>
            <w:r w:rsidRPr="00B70AE8">
              <w:t>Production de vapeur / d’eau surchauffée</w:t>
            </w:r>
          </w:p>
          <w:p w14:paraId="297692AB" w14:textId="77777777" w:rsidR="00E4458C" w:rsidRDefault="00E4458C" w:rsidP="00A66178">
            <w:pPr>
              <w:pStyle w:val="AuflistungmitCheckbox"/>
              <w:numPr>
                <w:ilvl w:val="0"/>
                <w:numId w:val="39"/>
              </w:numPr>
            </w:pPr>
            <w:r w:rsidRPr="00B70AE8">
              <w:t>Distribution de vapeur / d’eau surchauffée</w:t>
            </w:r>
          </w:p>
          <w:p w14:paraId="44E578B9" w14:textId="77777777" w:rsidR="00E4458C" w:rsidRDefault="00E4458C" w:rsidP="00A66178">
            <w:pPr>
              <w:pStyle w:val="AuflistungmitCheckbox"/>
              <w:numPr>
                <w:ilvl w:val="0"/>
                <w:numId w:val="39"/>
              </w:numPr>
            </w:pPr>
            <w:r w:rsidRPr="00B70AE8">
              <w:t>Emission de vapeur / d’eau surchauffée</w:t>
            </w:r>
          </w:p>
          <w:p w14:paraId="32551970" w14:textId="77777777" w:rsidR="00E4458C" w:rsidRDefault="00E4458C" w:rsidP="00A66178">
            <w:pPr>
              <w:pStyle w:val="AuflistungmitCheckbox"/>
              <w:numPr>
                <w:ilvl w:val="0"/>
                <w:numId w:val="39"/>
              </w:numPr>
            </w:pPr>
            <w:r w:rsidRPr="00B70AE8">
              <w:t>Production de froid</w:t>
            </w:r>
          </w:p>
          <w:p w14:paraId="05BDBB6D" w14:textId="77777777" w:rsidR="00E4458C" w:rsidRDefault="00E4458C" w:rsidP="00A66178">
            <w:pPr>
              <w:pStyle w:val="AuflistungmitCheckbox"/>
              <w:numPr>
                <w:ilvl w:val="0"/>
                <w:numId w:val="39"/>
              </w:numPr>
            </w:pPr>
            <w:r w:rsidRPr="00B70AE8">
              <w:t>Distribution de froid</w:t>
            </w:r>
          </w:p>
          <w:p w14:paraId="5ACC00FD" w14:textId="77777777" w:rsidR="00E4458C" w:rsidRDefault="00E4458C" w:rsidP="00A66178">
            <w:pPr>
              <w:pStyle w:val="AuflistungmitCheckbox"/>
              <w:numPr>
                <w:ilvl w:val="0"/>
                <w:numId w:val="39"/>
              </w:numPr>
            </w:pPr>
            <w:r w:rsidRPr="00B70AE8">
              <w:t>Emission de froid</w:t>
            </w:r>
          </w:p>
          <w:p w14:paraId="5F4ED32F" w14:textId="77777777" w:rsidR="00E4458C" w:rsidRDefault="00E4458C" w:rsidP="00A66178">
            <w:pPr>
              <w:pStyle w:val="AuflistungmitCheckbox"/>
              <w:numPr>
                <w:ilvl w:val="0"/>
                <w:numId w:val="39"/>
              </w:numPr>
            </w:pPr>
            <w:r w:rsidRPr="00B70AE8">
              <w:t>Aération</w:t>
            </w:r>
          </w:p>
          <w:p w14:paraId="6E0893C7" w14:textId="77777777" w:rsidR="00E4458C" w:rsidRDefault="00E4458C" w:rsidP="00A66178">
            <w:pPr>
              <w:pStyle w:val="AuflistungmitCheckbox"/>
              <w:numPr>
                <w:ilvl w:val="0"/>
                <w:numId w:val="39"/>
              </w:numPr>
            </w:pPr>
            <w:r w:rsidRPr="00B70AE8">
              <w:t>Distribution de l’air</w:t>
            </w:r>
          </w:p>
          <w:p w14:paraId="5A1A3419" w14:textId="77777777" w:rsidR="00E4458C" w:rsidRDefault="00E4458C" w:rsidP="00A66178">
            <w:pPr>
              <w:pStyle w:val="AuflistungmitCheckbox"/>
              <w:numPr>
                <w:ilvl w:val="0"/>
                <w:numId w:val="39"/>
              </w:numPr>
            </w:pPr>
            <w:r w:rsidRPr="00B70AE8">
              <w:t>Production d’air comprimé</w:t>
            </w:r>
          </w:p>
          <w:p w14:paraId="3A4D9832" w14:textId="77777777" w:rsidR="00E4458C" w:rsidRDefault="00E4458C" w:rsidP="00A66178">
            <w:pPr>
              <w:pStyle w:val="AuflistungmitCheckbox"/>
              <w:numPr>
                <w:ilvl w:val="0"/>
                <w:numId w:val="39"/>
              </w:numPr>
            </w:pPr>
            <w:r w:rsidRPr="00B70AE8">
              <w:t>Distribution d’air comprimé</w:t>
            </w:r>
          </w:p>
          <w:p w14:paraId="4DD48C55" w14:textId="77777777" w:rsidR="00E4458C" w:rsidRDefault="00E4458C" w:rsidP="00A66178">
            <w:pPr>
              <w:pStyle w:val="AuflistungmitCheckbox"/>
              <w:numPr>
                <w:ilvl w:val="0"/>
                <w:numId w:val="39"/>
              </w:numPr>
            </w:pPr>
            <w:r w:rsidRPr="00B70AE8">
              <w:t>Eclairage</w:t>
            </w:r>
          </w:p>
          <w:p w14:paraId="6E186E5F" w14:textId="77777777" w:rsidR="00E4458C" w:rsidRDefault="00E4458C" w:rsidP="00A66178">
            <w:pPr>
              <w:pStyle w:val="AuflistungmitCheckbox"/>
              <w:numPr>
                <w:ilvl w:val="0"/>
                <w:numId w:val="39"/>
              </w:numPr>
            </w:pPr>
            <w:r w:rsidRPr="00B70AE8">
              <w:t>Bâtiment</w:t>
            </w:r>
          </w:p>
          <w:p w14:paraId="3A4F1604" w14:textId="77777777" w:rsidR="00E4458C" w:rsidRDefault="00E4458C" w:rsidP="00A66178">
            <w:pPr>
              <w:pStyle w:val="AuflistungmitCheckbox"/>
              <w:numPr>
                <w:ilvl w:val="0"/>
                <w:numId w:val="39"/>
              </w:numPr>
            </w:pPr>
            <w:r w:rsidRPr="00B70AE8">
              <w:t>Appareils électriques</w:t>
            </w:r>
          </w:p>
          <w:p w14:paraId="070C79B0" w14:textId="77777777" w:rsidR="00E4458C" w:rsidRDefault="00E4458C" w:rsidP="00A66178">
            <w:pPr>
              <w:pStyle w:val="AuflistungmitCheckbox"/>
              <w:numPr>
                <w:ilvl w:val="0"/>
                <w:numId w:val="39"/>
              </w:numPr>
            </w:pPr>
            <w:r w:rsidRPr="00B70AE8">
              <w:t>Machines</w:t>
            </w:r>
          </w:p>
          <w:p w14:paraId="04A50D70" w14:textId="77777777" w:rsidR="00E4458C" w:rsidRDefault="00E4458C" w:rsidP="00A66178">
            <w:pPr>
              <w:pStyle w:val="AuflistungmitCheckbox"/>
              <w:numPr>
                <w:ilvl w:val="0"/>
                <w:numId w:val="39"/>
              </w:numPr>
            </w:pPr>
            <w:r w:rsidRPr="00B70AE8">
              <w:t>Transport</w:t>
            </w:r>
          </w:p>
          <w:p w14:paraId="4B013384" w14:textId="77777777" w:rsidR="00E4458C" w:rsidRDefault="00E4458C" w:rsidP="00A66178">
            <w:pPr>
              <w:pStyle w:val="AuflistungmitCheckbox"/>
              <w:numPr>
                <w:ilvl w:val="0"/>
                <w:numId w:val="39"/>
              </w:numPr>
            </w:pPr>
            <w:r w:rsidRPr="00B70AE8">
              <w:t>Points de vente</w:t>
            </w:r>
          </w:p>
          <w:p w14:paraId="082220C7" w14:textId="77777777" w:rsidR="00E4458C" w:rsidRDefault="00E4458C" w:rsidP="00A66178">
            <w:pPr>
              <w:pStyle w:val="AuflistungHilfestellung"/>
              <w:numPr>
                <w:ilvl w:val="0"/>
                <w:numId w:val="0"/>
              </w:numPr>
            </w:pPr>
            <w:r w:rsidRPr="00B70AE8">
              <w:t xml:space="preserve">En outre, l’AEnEc met à disposition de différentes branches des paquets de mesures standardisés: </w:t>
            </w:r>
          </w:p>
          <w:p w14:paraId="20503342" w14:textId="77777777" w:rsidR="00E4458C" w:rsidRDefault="00E4458C" w:rsidP="00A66178">
            <w:pPr>
              <w:pStyle w:val="AuflistungmitCheckbox"/>
              <w:numPr>
                <w:ilvl w:val="0"/>
                <w:numId w:val="40"/>
              </w:numPr>
            </w:pPr>
            <w:r w:rsidRPr="00B70AE8">
              <w:t>Fromageries</w:t>
            </w:r>
          </w:p>
          <w:p w14:paraId="3FCB30F6" w14:textId="77777777" w:rsidR="00E4458C" w:rsidRDefault="00E4458C" w:rsidP="00A66178">
            <w:pPr>
              <w:pStyle w:val="AuflistungmitCheckbox"/>
              <w:numPr>
                <w:ilvl w:val="0"/>
                <w:numId w:val="40"/>
              </w:numPr>
            </w:pPr>
            <w:r w:rsidRPr="00B70AE8">
              <w:t>Séchoirs à herbe</w:t>
            </w:r>
          </w:p>
          <w:p w14:paraId="712219DE" w14:textId="77777777" w:rsidR="00E4458C" w:rsidRDefault="00E4458C" w:rsidP="00A66178">
            <w:pPr>
              <w:pStyle w:val="AuflistungmitCheckbox"/>
              <w:numPr>
                <w:ilvl w:val="0"/>
                <w:numId w:val="40"/>
              </w:numPr>
            </w:pPr>
            <w:r w:rsidRPr="00B70AE8">
              <w:t>Serres</w:t>
            </w:r>
          </w:p>
          <w:p w14:paraId="444744F2" w14:textId="77777777" w:rsidR="00E4458C" w:rsidRDefault="00E4458C" w:rsidP="00A66178">
            <w:pPr>
              <w:pStyle w:val="AuflistungmitCheckbox"/>
              <w:numPr>
                <w:ilvl w:val="0"/>
                <w:numId w:val="40"/>
              </w:numPr>
            </w:pPr>
            <w:r w:rsidRPr="00B70AE8">
              <w:t>Hôtels (y c. espace bien-être/bains/séminaires)</w:t>
            </w:r>
          </w:p>
          <w:p w14:paraId="7D2CD5F2" w14:textId="77777777" w:rsidR="00E4458C" w:rsidRDefault="00E4458C" w:rsidP="00A66178">
            <w:pPr>
              <w:pStyle w:val="AuflistungmitCheckbox"/>
              <w:numPr>
                <w:ilvl w:val="0"/>
                <w:numId w:val="40"/>
              </w:numPr>
            </w:pPr>
            <w:r w:rsidRPr="00B70AE8">
              <w:t>Carrosseries</w:t>
            </w:r>
          </w:p>
          <w:p w14:paraId="3C18A38B" w14:textId="77777777" w:rsidR="00E4458C" w:rsidRDefault="00E4458C" w:rsidP="00A66178">
            <w:pPr>
              <w:pStyle w:val="AuflistungmitCheckbox"/>
              <w:numPr>
                <w:ilvl w:val="0"/>
                <w:numId w:val="40"/>
              </w:numPr>
            </w:pPr>
            <w:r w:rsidRPr="00B70AE8">
              <w:t>Aviculture</w:t>
            </w:r>
          </w:p>
          <w:p w14:paraId="1846E470" w14:textId="77777777" w:rsidR="00E4458C" w:rsidRDefault="00E4458C" w:rsidP="00A66178">
            <w:pPr>
              <w:pStyle w:val="AuflistungmitCheckbox"/>
              <w:numPr>
                <w:ilvl w:val="0"/>
                <w:numId w:val="40"/>
              </w:numPr>
            </w:pPr>
            <w:r w:rsidRPr="00B70AE8">
              <w:t>Piscines</w:t>
            </w:r>
          </w:p>
          <w:p w14:paraId="72B66777" w14:textId="77777777" w:rsidR="00E4458C" w:rsidRDefault="00E4458C" w:rsidP="00A66178">
            <w:pPr>
              <w:pStyle w:val="AuflistungmitCheckbox"/>
              <w:numPr>
                <w:ilvl w:val="0"/>
                <w:numId w:val="40"/>
              </w:numPr>
            </w:pPr>
            <w:r w:rsidRPr="00B70AE8">
              <w:t>Patinoires artificielles</w:t>
            </w:r>
          </w:p>
          <w:p w14:paraId="5AAC24B5" w14:textId="77777777" w:rsidR="00E4458C" w:rsidRDefault="00E4458C" w:rsidP="00A66178">
            <w:pPr>
              <w:pStyle w:val="AuflistungmitCheckbox"/>
              <w:numPr>
                <w:ilvl w:val="0"/>
                <w:numId w:val="40"/>
              </w:numPr>
            </w:pPr>
            <w:r w:rsidRPr="00B70AE8">
              <w:t>Blanchisseries</w:t>
            </w:r>
          </w:p>
          <w:p w14:paraId="190923ED" w14:textId="77777777" w:rsidR="00E4458C" w:rsidRDefault="00E4458C" w:rsidP="00A66178">
            <w:pPr>
              <w:pStyle w:val="AuflistungHilfestellung"/>
              <w:numPr>
                <w:ilvl w:val="0"/>
                <w:numId w:val="0"/>
              </w:numPr>
              <w:ind w:left="340" w:hanging="340"/>
            </w:pPr>
          </w:p>
        </w:tc>
      </w:tr>
      <w:tr w:rsidR="00E4458C" w:rsidRPr="00F82B1E" w14:paraId="6EE08A1D" w14:textId="77777777" w:rsidTr="00E4458C">
        <w:trPr>
          <w:cantSplit/>
        </w:trPr>
        <w:tc>
          <w:tcPr>
            <w:tcW w:w="2181" w:type="dxa"/>
            <w:shd w:val="clear" w:color="auto" w:fill="F2F2F2"/>
          </w:tcPr>
          <w:p w14:paraId="2758B4A3" w14:textId="77777777" w:rsidR="00E4458C" w:rsidRDefault="00E4458C" w:rsidP="00497BF1">
            <w:pPr>
              <w:pStyle w:val="Tabellentitel"/>
              <w:ind w:left="0"/>
            </w:pPr>
            <w:r w:rsidRPr="00B70AE8">
              <w:t>Aide</w:t>
            </w:r>
          </w:p>
        </w:tc>
        <w:tc>
          <w:tcPr>
            <w:tcW w:w="7515" w:type="dxa"/>
            <w:shd w:val="clear" w:color="auto" w:fill="F2F2F2"/>
          </w:tcPr>
          <w:p w14:paraId="11169BFF" w14:textId="1A204515" w:rsidR="00E4458C" w:rsidRPr="00A66178" w:rsidRDefault="00E4458C" w:rsidP="00A66178">
            <w:pPr>
              <w:pStyle w:val="AuflistungHilfestellung"/>
              <w:numPr>
                <w:ilvl w:val="0"/>
                <w:numId w:val="0"/>
              </w:numPr>
              <w:ind w:left="340" w:hanging="340"/>
              <w:rPr>
                <w:b/>
              </w:rPr>
            </w:pPr>
            <w:r w:rsidRPr="00A66178">
              <w:rPr>
                <w:b/>
              </w:rPr>
              <w:t>(2) Optimisation énergétique classique</w:t>
            </w:r>
          </w:p>
          <w:p w14:paraId="2B6B43C1" w14:textId="77777777" w:rsidR="00E4458C" w:rsidRDefault="00E4458C" w:rsidP="00A66178">
            <w:pPr>
              <w:pStyle w:val="AuflistungmitCheckbox"/>
              <w:ind w:left="0" w:firstLine="0"/>
            </w:pPr>
            <w:r w:rsidRPr="00B70AE8">
              <w:t>Une multitude de guides et d’outils en vue d’une optimisation énergétique classique ont été élaborés aussi bien en Suisse qu’à l’étranger. Les mesures décrites vont d’une amélioration des infrastructures à des idées d’économies spécifiques aux branches et couvrent les optimisations d’exploitation ainsi que les mesures d’investissement.</w:t>
            </w:r>
          </w:p>
          <w:p w14:paraId="4D130CD8" w14:textId="77777777" w:rsidR="00E4458C" w:rsidRDefault="00E4458C" w:rsidP="00D72126">
            <w:pPr>
              <w:pStyle w:val="AuflistungmitCheckbox"/>
            </w:pPr>
          </w:p>
        </w:tc>
      </w:tr>
      <w:tr w:rsidR="008F43CE" w:rsidRPr="00F82B1E" w14:paraId="3AD6B220" w14:textId="77777777" w:rsidTr="00E4458C">
        <w:trPr>
          <w:cantSplit/>
        </w:trPr>
        <w:tc>
          <w:tcPr>
            <w:tcW w:w="2181" w:type="dxa"/>
            <w:shd w:val="clear" w:color="auto" w:fill="F2F2F2"/>
          </w:tcPr>
          <w:p w14:paraId="371F7DF6" w14:textId="77777777" w:rsidR="008F43CE" w:rsidRDefault="008F43CE" w:rsidP="008F43CE">
            <w:pPr>
              <w:pStyle w:val="Tabellentitel"/>
              <w:ind w:left="0"/>
            </w:pPr>
            <w:r w:rsidRPr="00B70AE8">
              <w:t>Aide</w:t>
            </w:r>
          </w:p>
        </w:tc>
        <w:tc>
          <w:tcPr>
            <w:tcW w:w="7515" w:type="dxa"/>
            <w:shd w:val="clear" w:color="auto" w:fill="F2F2F2"/>
          </w:tcPr>
          <w:p w14:paraId="4E3010EC" w14:textId="77777777" w:rsidR="008F43CE" w:rsidRDefault="008F43CE" w:rsidP="00A66178">
            <w:pPr>
              <w:pStyle w:val="AuflistungHilfestellung"/>
              <w:numPr>
                <w:ilvl w:val="0"/>
                <w:numId w:val="0"/>
              </w:numPr>
            </w:pPr>
            <w:r w:rsidRPr="00B70AE8">
              <w:rPr>
                <w:b/>
              </w:rPr>
              <w:t>(3) Approches systématiques d’optimisation</w:t>
            </w:r>
            <w:r w:rsidRPr="00B70AE8">
              <w:rPr>
                <w:b/>
              </w:rPr>
              <w:br/>
            </w:r>
            <w:r w:rsidRPr="00B70AE8">
              <w:t xml:space="preserve">L’objectif premier des approches systématiques d’optimisation telle que l’intégration des procédés ou la méthode du pincement (méthode «Pinch») n’est pas d’optimiser des appareils et des composants pris isolément mais d’optimiser le système dans son ensemble. Le mot d’ordre est de récupérer la chaleur au sein et entre les procédés. Selon la branche, il est possible de réaliser des économies de chaleur de 10 à 40%. </w:t>
            </w:r>
          </w:p>
          <w:p w14:paraId="2505FD4F" w14:textId="77777777" w:rsidR="008F43CE" w:rsidRDefault="008F43CE" w:rsidP="00A66178">
            <w:pPr>
              <w:pStyle w:val="AuflistungHilfestellung"/>
              <w:numPr>
                <w:ilvl w:val="0"/>
                <w:numId w:val="0"/>
              </w:numPr>
            </w:pPr>
            <w:r w:rsidRPr="00B70AE8">
              <w:t>Les conditions pour qu’une intégration des procédés soit rentable sont:</w:t>
            </w:r>
          </w:p>
          <w:p w14:paraId="71D395CA" w14:textId="77777777" w:rsidR="008F43CE" w:rsidRDefault="008F43CE" w:rsidP="00A66178">
            <w:pPr>
              <w:pStyle w:val="AuflistungmitCheckbox"/>
              <w:ind w:left="0" w:firstLine="0"/>
            </w:pPr>
            <w:r w:rsidRPr="00B70AE8">
              <w:t>Ce sont les procédés, et non les infrastructures du bâtiment, qui sont les principaux consommateurs d’énergie thermique.</w:t>
            </w:r>
          </w:p>
          <w:p w14:paraId="5D265B45" w14:textId="77777777" w:rsidR="008F43CE" w:rsidRDefault="008F43CE" w:rsidP="00A04F6D">
            <w:pPr>
              <w:pStyle w:val="AuflistungmitCheckbox"/>
              <w:numPr>
                <w:ilvl w:val="0"/>
                <w:numId w:val="41"/>
              </w:numPr>
            </w:pPr>
            <w:r w:rsidRPr="00B70AE8">
              <w:t xml:space="preserve">Les procédés requièrent des niveaux de température différents (p. ex. production d’eau chaude, pasteurisation à 75 °C, préchauffage à 40 °C, chauffage de l’air à 30 °C, etc.) </w:t>
            </w:r>
          </w:p>
          <w:p w14:paraId="23884DB2" w14:textId="77777777" w:rsidR="008F43CE" w:rsidRDefault="008F43CE" w:rsidP="00A04F6D">
            <w:pPr>
              <w:pStyle w:val="AuflistungmitCheckbox"/>
              <w:numPr>
                <w:ilvl w:val="0"/>
                <w:numId w:val="41"/>
              </w:numPr>
            </w:pPr>
            <w:r w:rsidRPr="00B70AE8">
              <w:t>Il y a différentes sources de rejets de chaleur ou exigences de refroidissement (p. ex. refroidissement de produits de 50 °C à 20 °C, eaux usées à 25 °C, air évacué à 50 °C, rejets de chaleur des compresseurs à air comprimé à max. 60 °C, rejets de chaleur des machines frigorifiques à 45 °C, etc.)</w:t>
            </w:r>
          </w:p>
          <w:p w14:paraId="3F196128" w14:textId="77777777" w:rsidR="008F43CE" w:rsidRDefault="008F43CE" w:rsidP="00A04F6D">
            <w:pPr>
              <w:pStyle w:val="AuflistungmitCheckbox"/>
              <w:numPr>
                <w:ilvl w:val="0"/>
                <w:numId w:val="41"/>
              </w:numPr>
            </w:pPr>
            <w:r w:rsidRPr="00B70AE8">
              <w:t>Les deux points ci-dessus simplifiés: il y a des rejets de chaleur et des consommateurs de chaleur potentiels. Mais il n’apparaît pas au premier coup d’œil si et comment il est possible de réaliser et de rentabiliser une récupération de la chaleur.</w:t>
            </w:r>
          </w:p>
          <w:p w14:paraId="4BB11DE9" w14:textId="77777777" w:rsidR="008F43CE" w:rsidRDefault="008F43CE" w:rsidP="00A04F6D">
            <w:pPr>
              <w:pStyle w:val="AuflistungmitCheckbox"/>
              <w:numPr>
                <w:ilvl w:val="0"/>
                <w:numId w:val="41"/>
              </w:numPr>
            </w:pPr>
            <w:r w:rsidRPr="00B70AE8">
              <w:t>Les coûts de l’énergie thermique sont idéalement de l’ordre de 300’000 CHF/an ou plus.</w:t>
            </w:r>
          </w:p>
          <w:p w14:paraId="64D56070" w14:textId="48E0FABA" w:rsidR="008F43CE" w:rsidRDefault="008F43CE" w:rsidP="00A04F6D">
            <w:pPr>
              <w:pStyle w:val="AuflistungHilfestellung"/>
              <w:numPr>
                <w:ilvl w:val="0"/>
                <w:numId w:val="0"/>
              </w:numPr>
            </w:pPr>
            <w:bookmarkStart w:id="164" w:name="WfSource"/>
            <w:bookmarkStart w:id="165" w:name="WfTU"/>
            <w:r w:rsidRPr="00B70AE8">
              <w:t xml:space="preserve">Si les conditions ci-dessus sont remplies, il est au moins recommandé d’étudier la méthode. </w:t>
            </w:r>
            <w:bookmarkEnd w:id="164"/>
            <w:bookmarkEnd w:id="165"/>
          </w:p>
          <w:p w14:paraId="68E19EFF" w14:textId="77777777" w:rsidR="008F43CE" w:rsidRDefault="008F43CE" w:rsidP="00A04F6D">
            <w:pPr>
              <w:pStyle w:val="AuflistungHilfestellung"/>
              <w:numPr>
                <w:ilvl w:val="0"/>
                <w:numId w:val="0"/>
              </w:numPr>
              <w:ind w:left="340" w:hanging="340"/>
            </w:pPr>
          </w:p>
          <w:p w14:paraId="329D9592" w14:textId="77777777" w:rsidR="008F43CE" w:rsidRDefault="008F43CE" w:rsidP="00A04F6D">
            <w:pPr>
              <w:pStyle w:val="AuflistungHilfestellung"/>
              <w:numPr>
                <w:ilvl w:val="0"/>
                <w:numId w:val="0"/>
              </w:numPr>
              <w:rPr>
                <w:lang w:eastAsia="de-CH"/>
              </w:rPr>
            </w:pPr>
            <w:r w:rsidRPr="00B70AE8">
              <w:rPr>
                <w:lang w:eastAsia="de-CH"/>
              </w:rPr>
              <w:t>Il existe divers manuels et logiciels d’introduction à l’intégration des procédés ou à l’analyse «Pinch», notamment:</w:t>
            </w:r>
          </w:p>
          <w:p w14:paraId="627FE252" w14:textId="77777777" w:rsidR="008F43CE" w:rsidRPr="00F65A08" w:rsidRDefault="008F43CE" w:rsidP="00D72126">
            <w:pPr>
              <w:pStyle w:val="AuflistungHilfestellung"/>
              <w:rPr>
                <w:rFonts w:ascii="Times New Roman" w:hAnsi="Times New Roman"/>
                <w:szCs w:val="26"/>
                <w:lang w:val="de-CH"/>
              </w:rPr>
            </w:pPr>
            <w:r w:rsidRPr="00F65A08">
              <w:rPr>
                <w:lang w:val="de-CH"/>
              </w:rPr>
              <w:t>«</w:t>
            </w:r>
            <w:r w:rsidRPr="00F65A08">
              <w:rPr>
                <w:i/>
                <w:lang w:val="de-CH"/>
              </w:rPr>
              <w:t>Prozessintegration mit der Pinch-Methode – Handbuch zum BFE-Einführungskurs</w:t>
            </w:r>
            <w:r w:rsidRPr="00F65A08">
              <w:rPr>
                <w:lang w:val="de-CH"/>
              </w:rPr>
              <w:t>» (disponible seulement en allemand)</w:t>
            </w:r>
            <w:r w:rsidRPr="00F65A08">
              <w:rPr>
                <w:lang w:val="de-CH"/>
              </w:rPr>
              <w:br/>
            </w:r>
            <w:r w:rsidRPr="00F65A08">
              <w:rPr>
                <w:rStyle w:val="DeltaViewInsertion"/>
                <w:szCs w:val="26"/>
                <w:lang w:val="de-CH"/>
              </w:rPr>
              <w:t>http://www.energieschweiz.ch/pub/p2588/de-ch</w:t>
            </w:r>
          </w:p>
          <w:p w14:paraId="5F1A4D49" w14:textId="77777777" w:rsidR="008F43CE" w:rsidRDefault="008F43CE" w:rsidP="00D72126">
            <w:pPr>
              <w:pStyle w:val="AuflistungHilfestellung"/>
            </w:pPr>
            <w:r w:rsidRPr="00B70AE8">
              <w:t>Logiciel «PinCH» de la Haute école de Lucerne Technique &amp; architecture, soutenu par l’Office fédéral de l’énergie:</w:t>
            </w:r>
            <w:r w:rsidRPr="00B70AE8">
              <w:br/>
            </w:r>
            <w:hyperlink r:id="rId52" w:history="1">
              <w:r>
                <w:rPr>
                  <w:rStyle w:val="Hyperlink"/>
                </w:rPr>
                <w:t>www.pinch-analyse.ch</w:t>
              </w:r>
            </w:hyperlink>
          </w:p>
          <w:p w14:paraId="0F13E022" w14:textId="77777777" w:rsidR="008F43CE" w:rsidRDefault="008F43CE" w:rsidP="00753B0A">
            <w:pPr>
              <w:pStyle w:val="AuflistungHilfestellung"/>
            </w:pPr>
            <w:r w:rsidRPr="00B70AE8">
              <w:t>Logiciel «Einstein» pour la saisie de données et l’analyse «Pinch»:</w:t>
            </w:r>
            <w:r w:rsidRPr="00B70AE8">
              <w:br/>
            </w:r>
            <w:hyperlink r:id="rId53" w:history="1">
              <w:r>
                <w:rPr>
                  <w:rStyle w:val="Hyperlink"/>
                </w:rPr>
                <w:t>http://sourceforge.net/projects/einstein/</w:t>
              </w:r>
            </w:hyperlink>
          </w:p>
          <w:p w14:paraId="088A4070" w14:textId="77777777" w:rsidR="00753B0A" w:rsidRDefault="00753B0A" w:rsidP="00753B0A">
            <w:pPr>
              <w:pStyle w:val="AuflistungHilfestellung"/>
              <w:numPr>
                <w:ilvl w:val="0"/>
                <w:numId w:val="0"/>
              </w:numPr>
              <w:ind w:left="340"/>
            </w:pPr>
          </w:p>
        </w:tc>
      </w:tr>
    </w:tbl>
    <w:p w14:paraId="597C3A42" w14:textId="77777777" w:rsidR="000A2C0C" w:rsidRPr="008F43CE" w:rsidRDefault="000A2C0C" w:rsidP="00595461">
      <w:pPr>
        <w:rPr>
          <w:lang w:val="fr-CH"/>
        </w:rPr>
      </w:pPr>
    </w:p>
    <w:sectPr w:rsidR="000A2C0C" w:rsidRPr="008F43CE" w:rsidSect="00F019DD">
      <w:headerReference w:type="even" r:id="rId54"/>
      <w:headerReference w:type="default" r:id="rId55"/>
      <w:headerReference w:type="first" r:id="rId56"/>
      <w:type w:val="continuous"/>
      <w:pgSz w:w="11906" w:h="16838" w:code="9"/>
      <w:pgMar w:top="680" w:right="680" w:bottom="680" w:left="680" w:header="680" w:footer="10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CB8B1" w14:textId="77777777" w:rsidR="00F82B1E" w:rsidRDefault="00F82B1E" w:rsidP="00595461">
      <w:r>
        <w:separator/>
      </w:r>
    </w:p>
  </w:endnote>
  <w:endnote w:type="continuationSeparator" w:id="0">
    <w:p w14:paraId="7359D21C" w14:textId="77777777" w:rsidR="00F82B1E" w:rsidRDefault="00F82B1E" w:rsidP="0059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9758D" w14:textId="77777777" w:rsidR="00F82B1E" w:rsidRDefault="00F82B1E" w:rsidP="00595461">
      <w:r>
        <w:separator/>
      </w:r>
    </w:p>
  </w:footnote>
  <w:footnote w:type="continuationSeparator" w:id="0">
    <w:p w14:paraId="22F0562C" w14:textId="77777777" w:rsidR="00F82B1E" w:rsidRDefault="00F82B1E" w:rsidP="00595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9" w:type="dxa"/>
      <w:jc w:val="right"/>
      <w:tblBorders>
        <w:top w:val="single" w:sz="4" w:space="0" w:color="auto"/>
        <w:left w:val="single" w:sz="4" w:space="0" w:color="auto"/>
      </w:tblBorders>
      <w:tblCellMar>
        <w:left w:w="0" w:type="dxa"/>
        <w:right w:w="0" w:type="dxa"/>
      </w:tblCellMar>
      <w:tblLook w:val="04A0" w:firstRow="1" w:lastRow="0" w:firstColumn="1" w:lastColumn="0" w:noHBand="0" w:noVBand="1"/>
    </w:tblPr>
    <w:tblGrid>
      <w:gridCol w:w="10149"/>
    </w:tblGrid>
    <w:tr w:rsidR="00F82B1E" w:rsidRPr="00936B78" w14:paraId="022BA05F" w14:textId="77777777" w:rsidTr="00936B78">
      <w:trPr>
        <w:jc w:val="right"/>
      </w:trPr>
      <w:tc>
        <w:tcPr>
          <w:tcW w:w="10206" w:type="dxa"/>
        </w:tcPr>
        <w:p w14:paraId="0C144F1C" w14:textId="77777777" w:rsidR="00F82B1E" w:rsidRPr="00936B78" w:rsidRDefault="00F82B1E" w:rsidP="00595461">
          <w:pPr>
            <w:pStyle w:val="KopfzeilePungerade"/>
          </w:pPr>
          <w:r>
            <w:fldChar w:fldCharType="begin"/>
          </w:r>
          <w:r>
            <w:instrText xml:space="preserve"> PAGE   \* MERGEFORMAT </w:instrText>
          </w:r>
          <w:r>
            <w:fldChar w:fldCharType="separate"/>
          </w:r>
          <w:r>
            <w:t>2</w:t>
          </w:r>
          <w:r>
            <w:fldChar w:fldCharType="end"/>
          </w:r>
        </w:p>
      </w:tc>
    </w:tr>
    <w:tr w:rsidR="00F82B1E" w:rsidRPr="00936B78" w14:paraId="39F08FF3" w14:textId="77777777" w:rsidTr="00936B78">
      <w:trPr>
        <w:jc w:val="right"/>
      </w:trPr>
      <w:tc>
        <w:tcPr>
          <w:tcW w:w="10206" w:type="dxa"/>
        </w:tcPr>
        <w:p w14:paraId="5EB3FCA8" w14:textId="77777777" w:rsidR="00F82B1E" w:rsidRPr="00936B78" w:rsidRDefault="00F82B1E" w:rsidP="00595461">
          <w:pPr>
            <w:pStyle w:val="KopfzeilePungerade"/>
          </w:pPr>
          <w:r w:rsidRPr="00936B78">
            <w:t xml:space="preserve">Ist-Zustand und Potentialanalyse </w:t>
          </w:r>
          <w:r w:rsidRPr="00936B78">
            <w:fldChar w:fldCharType="begin"/>
          </w:r>
          <w:r w:rsidRPr="00936B78">
            <w:instrText xml:space="preserve"> DOCPROPERTY "BM_DocTitle"\*CHARFORMAT </w:instrText>
          </w:r>
          <w:r w:rsidRPr="00936B78">
            <w:fldChar w:fldCharType="separate"/>
          </w:r>
          <w:r>
            <w:rPr>
              <w:b/>
              <w:bCs/>
              <w:lang w:val="de-DE"/>
            </w:rPr>
            <w:t>Fehler! Unbekannter Name für Dokument-Eigenschaft.</w:t>
          </w:r>
          <w:r w:rsidRPr="00936B78">
            <w:fldChar w:fldCharType="end"/>
          </w:r>
        </w:p>
      </w:tc>
    </w:tr>
  </w:tbl>
  <w:p w14:paraId="5CCF42BB" w14:textId="77777777" w:rsidR="00F82B1E" w:rsidRPr="003A6329" w:rsidRDefault="00F82B1E" w:rsidP="005954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9" w:type="dxa"/>
      <w:jc w:val="right"/>
      <w:tblBorders>
        <w:top w:val="single" w:sz="4" w:space="0" w:color="auto"/>
        <w:left w:val="single" w:sz="4" w:space="0" w:color="auto"/>
        <w:right w:val="single" w:sz="4" w:space="0" w:color="auto"/>
        <w:insideV w:val="single" w:sz="4" w:space="0" w:color="auto"/>
      </w:tblBorders>
      <w:tblCellMar>
        <w:left w:w="0" w:type="dxa"/>
        <w:right w:w="0" w:type="dxa"/>
      </w:tblCellMar>
      <w:tblLook w:val="04A0" w:firstRow="1" w:lastRow="0" w:firstColumn="1" w:lastColumn="0" w:noHBand="0" w:noVBand="1"/>
    </w:tblPr>
    <w:tblGrid>
      <w:gridCol w:w="3384"/>
      <w:gridCol w:w="3378"/>
      <w:gridCol w:w="3387"/>
    </w:tblGrid>
    <w:tr w:rsidR="00F82B1E" w:rsidRPr="009F1DE3" w14:paraId="5FFA8646" w14:textId="77777777" w:rsidTr="009F1DE3">
      <w:trPr>
        <w:trHeight w:val="85"/>
        <w:jc w:val="right"/>
      </w:trPr>
      <w:tc>
        <w:tcPr>
          <w:tcW w:w="3402" w:type="dxa"/>
          <w:vAlign w:val="center"/>
        </w:tcPr>
        <w:p w14:paraId="2A3C167C" w14:textId="77777777" w:rsidR="00F82B1E" w:rsidRPr="00936B78" w:rsidRDefault="00F82B1E" w:rsidP="009F1DE3">
          <w:pPr>
            <w:pStyle w:val="KopfzeileP1"/>
            <w:spacing w:before="60"/>
            <w:jc w:val="left"/>
          </w:pPr>
          <w:r>
            <w:t>Office fédéral de l’énergie</w:t>
          </w:r>
        </w:p>
      </w:tc>
      <w:tc>
        <w:tcPr>
          <w:tcW w:w="3402" w:type="dxa"/>
        </w:tcPr>
        <w:p w14:paraId="5E374E9D" w14:textId="77777777" w:rsidR="00F82B1E" w:rsidRPr="00936B78" w:rsidRDefault="00F82B1E" w:rsidP="00595461">
          <w:pPr>
            <w:pStyle w:val="KopfzeileP1"/>
          </w:pPr>
        </w:p>
      </w:tc>
      <w:tc>
        <w:tcPr>
          <w:tcW w:w="3402" w:type="dxa"/>
        </w:tcPr>
        <w:p w14:paraId="0ACFC663" w14:textId="77777777" w:rsidR="00F82B1E" w:rsidRPr="00936B78" w:rsidRDefault="00F82B1E" w:rsidP="009F1DE3">
          <w:pPr>
            <w:pStyle w:val="KopfzeileP1"/>
            <w:spacing w:before="60"/>
          </w:pPr>
          <w:r w:rsidRPr="009F1DE3">
            <w:t>SuisseEnergie</w:t>
          </w:r>
        </w:p>
      </w:tc>
    </w:tr>
  </w:tbl>
  <w:p w14:paraId="28FE221E" w14:textId="77777777" w:rsidR="00F82B1E" w:rsidRPr="003A6329" w:rsidRDefault="00F82B1E" w:rsidP="00A616B3">
    <w:pPr>
      <w:tabs>
        <w:tab w:val="left" w:pos="1777"/>
      </w:tabs>
      <w:ind w:left="0"/>
    </w:pPr>
    <w:r>
      <w:rPr>
        <w:noProof/>
        <w:lang w:eastAsia="de-CH"/>
      </w:rPr>
      <w:drawing>
        <wp:anchor distT="0" distB="0" distL="114300" distR="114300" simplePos="0" relativeHeight="251657728" behindDoc="1" locked="1" layoutInCell="1" allowOverlap="1" wp14:anchorId="55668F5B" wp14:editId="5A9671EB">
          <wp:simplePos x="0" y="0"/>
          <wp:positionH relativeFrom="column">
            <wp:posOffset>-1260475</wp:posOffset>
          </wp:positionH>
          <wp:positionV relativeFrom="paragraph">
            <wp:posOffset>-1941830</wp:posOffset>
          </wp:positionV>
          <wp:extent cx="7572375" cy="1085850"/>
          <wp:effectExtent l="19050" t="0" r="9525" b="0"/>
          <wp:wrapNone/>
          <wp:docPr id="289" name="1d1e3902-acbe-422c-a837-4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1e3902-acbe-422c-a837-4db2"/>
                  <pic:cNvPicPr>
                    <a:picLocks noChangeAspect="1" noChangeArrowheads="1"/>
                  </pic:cNvPicPr>
                </pic:nvPicPr>
                <pic:blipFill>
                  <a:blip r:embed="rId1"/>
                  <a:srcRect/>
                  <a:stretch>
                    <a:fillRect/>
                  </a:stretch>
                </pic:blipFill>
                <pic:spPr bwMode="auto">
                  <a:xfrm>
                    <a:off x="0" y="0"/>
                    <a:ext cx="7572375" cy="10858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4" w:type="dxa"/>
      <w:tblInd w:w="170" w:type="dxa"/>
      <w:tblBorders>
        <w:top w:val="single" w:sz="4" w:space="0" w:color="auto"/>
        <w:left w:val="single" w:sz="4" w:space="0" w:color="auto"/>
      </w:tblBorders>
      <w:tblLayout w:type="fixed"/>
      <w:tblCellMar>
        <w:top w:w="113" w:type="dxa"/>
        <w:left w:w="170" w:type="dxa"/>
        <w:bottom w:w="113" w:type="dxa"/>
      </w:tblCellMar>
      <w:tblLook w:val="04A0" w:firstRow="1" w:lastRow="0" w:firstColumn="1" w:lastColumn="0" w:noHBand="0" w:noVBand="1"/>
    </w:tblPr>
    <w:tblGrid>
      <w:gridCol w:w="4507"/>
      <w:gridCol w:w="3071"/>
      <w:gridCol w:w="3606"/>
    </w:tblGrid>
    <w:tr w:rsidR="00F82B1E" w:rsidRPr="00C105EB" w14:paraId="63F79773" w14:textId="77777777" w:rsidTr="00781E0F">
      <w:trPr>
        <w:trHeight w:val="224"/>
      </w:trPr>
      <w:tc>
        <w:tcPr>
          <w:tcW w:w="4507" w:type="dxa"/>
        </w:tcPr>
        <w:p w14:paraId="2E8AE0F5" w14:textId="77777777" w:rsidR="00F82B1E" w:rsidRPr="00C105EB" w:rsidRDefault="00F82B1E" w:rsidP="00CA0F7A">
          <w:pPr>
            <w:pStyle w:val="Kopfzeile"/>
            <w:ind w:left="-28"/>
            <w:rPr>
              <w:noProof/>
              <w:sz w:val="18"/>
              <w:szCs w:val="18"/>
              <w:lang w:val="fr-CH"/>
            </w:rPr>
          </w:pPr>
          <w:r w:rsidRPr="00C105EB">
            <w:rPr>
              <w:noProof/>
              <w:sz w:val="18"/>
              <w:szCs w:val="18"/>
              <w:lang w:val="fr-CH"/>
            </w:rPr>
            <w:fldChar w:fldCharType="begin"/>
          </w:r>
          <w:r w:rsidRPr="00C105EB">
            <w:rPr>
              <w:noProof/>
              <w:sz w:val="18"/>
              <w:szCs w:val="18"/>
              <w:lang w:val="fr-CH"/>
            </w:rPr>
            <w:instrText xml:space="preserve"> PAGE  \* Arabic  \* MERGEFORMAT </w:instrText>
          </w:r>
          <w:r w:rsidRPr="00C105EB">
            <w:rPr>
              <w:noProof/>
              <w:sz w:val="18"/>
              <w:szCs w:val="18"/>
              <w:lang w:val="fr-CH"/>
            </w:rPr>
            <w:fldChar w:fldCharType="separate"/>
          </w:r>
          <w:r w:rsidR="00584FFB">
            <w:rPr>
              <w:noProof/>
              <w:sz w:val="18"/>
              <w:szCs w:val="18"/>
              <w:lang w:val="fr-CH"/>
            </w:rPr>
            <w:t>40</w:t>
          </w:r>
          <w:r w:rsidRPr="00C105EB">
            <w:rPr>
              <w:noProof/>
              <w:sz w:val="18"/>
              <w:szCs w:val="18"/>
              <w:lang w:val="fr-CH"/>
            </w:rPr>
            <w:fldChar w:fldCharType="end"/>
          </w:r>
        </w:p>
        <w:p w14:paraId="20E4DC04" w14:textId="77777777" w:rsidR="00F82B1E" w:rsidRPr="00C105EB" w:rsidRDefault="00F82B1E" w:rsidP="009F1DE3">
          <w:pPr>
            <w:pStyle w:val="Kopfzeile"/>
            <w:ind w:left="-28"/>
            <w:rPr>
              <w:noProof/>
              <w:sz w:val="18"/>
              <w:szCs w:val="18"/>
              <w:lang w:val="fr-CH"/>
            </w:rPr>
          </w:pPr>
          <w:r w:rsidRPr="00C105EB">
            <w:rPr>
              <w:noProof/>
              <w:sz w:val="18"/>
              <w:szCs w:val="18"/>
              <w:lang w:val="fr-CH"/>
            </w:rPr>
            <w:t xml:space="preserve">SuisseEnergie </w:t>
          </w:r>
        </w:p>
      </w:tc>
      <w:tc>
        <w:tcPr>
          <w:tcW w:w="3071" w:type="dxa"/>
        </w:tcPr>
        <w:p w14:paraId="06D94419" w14:textId="77777777" w:rsidR="00F82B1E" w:rsidRPr="00C105EB" w:rsidRDefault="00F82B1E" w:rsidP="00595461">
          <w:pPr>
            <w:pStyle w:val="Kopfzeile"/>
            <w:rPr>
              <w:noProof/>
              <w:lang w:val="fr-CH"/>
            </w:rPr>
          </w:pPr>
        </w:p>
      </w:tc>
      <w:tc>
        <w:tcPr>
          <w:tcW w:w="3606" w:type="dxa"/>
        </w:tcPr>
        <w:p w14:paraId="581620DD" w14:textId="77777777" w:rsidR="00F82B1E" w:rsidRPr="00C105EB" w:rsidRDefault="00F82B1E" w:rsidP="00595461">
          <w:pPr>
            <w:pStyle w:val="Kopfzeile"/>
            <w:rPr>
              <w:noProof/>
              <w:lang w:val="fr-CH"/>
            </w:rPr>
          </w:pPr>
        </w:p>
      </w:tc>
    </w:tr>
  </w:tbl>
  <w:p w14:paraId="2C79F676" w14:textId="77777777" w:rsidR="00F82B1E" w:rsidRPr="00C105EB" w:rsidRDefault="00F82B1E" w:rsidP="00595461">
    <w:pPr>
      <w:pStyle w:val="Kopfzeile"/>
      <w:rPr>
        <w:noProof/>
        <w:lang w:val="fr-CH"/>
      </w:rPr>
    </w:pPr>
  </w:p>
  <w:p w14:paraId="5DF0E4FB" w14:textId="77777777" w:rsidR="00F82B1E" w:rsidRPr="00C105EB" w:rsidRDefault="00F82B1E" w:rsidP="00595461">
    <w:pPr>
      <w:pStyle w:val="Kopfzeile"/>
      <w:rPr>
        <w:noProof/>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170" w:type="dxa"/>
      <w:tblBorders>
        <w:top w:val="single" w:sz="4" w:space="0" w:color="auto"/>
        <w:right w:val="single" w:sz="4" w:space="0" w:color="auto"/>
      </w:tblBorders>
      <w:tblLayout w:type="fixed"/>
      <w:tblCellMar>
        <w:top w:w="113" w:type="dxa"/>
        <w:left w:w="170" w:type="dxa"/>
        <w:bottom w:w="113" w:type="dxa"/>
      </w:tblCellMar>
      <w:tblLook w:val="04A0" w:firstRow="1" w:lastRow="0" w:firstColumn="1" w:lastColumn="0" w:noHBand="0" w:noVBand="1"/>
    </w:tblPr>
    <w:tblGrid>
      <w:gridCol w:w="3813"/>
      <w:gridCol w:w="2708"/>
      <w:gridCol w:w="3969"/>
    </w:tblGrid>
    <w:tr w:rsidR="00F82B1E" w:rsidRPr="00F82B1E" w14:paraId="2390FCC7" w14:textId="77777777" w:rsidTr="00781E0F">
      <w:trPr>
        <w:trHeight w:val="224"/>
      </w:trPr>
      <w:tc>
        <w:tcPr>
          <w:tcW w:w="3813" w:type="dxa"/>
        </w:tcPr>
        <w:p w14:paraId="3404CE81" w14:textId="77777777" w:rsidR="00F82B1E" w:rsidRPr="00936B78" w:rsidRDefault="00F82B1E" w:rsidP="00595461">
          <w:pPr>
            <w:pStyle w:val="Kopfzeile"/>
          </w:pPr>
        </w:p>
      </w:tc>
      <w:tc>
        <w:tcPr>
          <w:tcW w:w="2708" w:type="dxa"/>
        </w:tcPr>
        <w:p w14:paraId="3772F09F" w14:textId="77777777" w:rsidR="00F82B1E" w:rsidRPr="00936B78" w:rsidRDefault="00F82B1E" w:rsidP="00595461">
          <w:pPr>
            <w:pStyle w:val="Kopfzeile"/>
          </w:pPr>
        </w:p>
      </w:tc>
      <w:tc>
        <w:tcPr>
          <w:tcW w:w="3969" w:type="dxa"/>
        </w:tcPr>
        <w:p w14:paraId="4F85E1B9" w14:textId="77777777" w:rsidR="00F82B1E" w:rsidRPr="00A616B3" w:rsidRDefault="00F82B1E" w:rsidP="00781E0F">
          <w:pPr>
            <w:pStyle w:val="Kopfzeile"/>
            <w:ind w:left="-1384" w:right="176" w:hanging="958"/>
            <w:jc w:val="right"/>
            <w:rPr>
              <w:sz w:val="18"/>
              <w:szCs w:val="18"/>
            </w:rPr>
          </w:pPr>
          <w:r w:rsidRPr="00A616B3">
            <w:rPr>
              <w:sz w:val="18"/>
              <w:szCs w:val="18"/>
            </w:rPr>
            <w:fldChar w:fldCharType="begin"/>
          </w:r>
          <w:r w:rsidRPr="00A616B3">
            <w:rPr>
              <w:sz w:val="18"/>
              <w:szCs w:val="18"/>
            </w:rPr>
            <w:instrText xml:space="preserve"> PAGE  \* Arabic  \* MERGEFORMAT </w:instrText>
          </w:r>
          <w:r w:rsidRPr="00A616B3">
            <w:rPr>
              <w:sz w:val="18"/>
              <w:szCs w:val="18"/>
            </w:rPr>
            <w:fldChar w:fldCharType="separate"/>
          </w:r>
          <w:r w:rsidR="00584FFB">
            <w:rPr>
              <w:noProof/>
              <w:sz w:val="18"/>
              <w:szCs w:val="18"/>
            </w:rPr>
            <w:t>41</w:t>
          </w:r>
          <w:r w:rsidRPr="00A616B3">
            <w:rPr>
              <w:sz w:val="18"/>
              <w:szCs w:val="18"/>
            </w:rPr>
            <w:fldChar w:fldCharType="end"/>
          </w:r>
        </w:p>
        <w:p w14:paraId="5E314781" w14:textId="77777777" w:rsidR="00F82B1E" w:rsidRPr="00781E0F" w:rsidRDefault="00F82B1E" w:rsidP="00A616B3">
          <w:pPr>
            <w:pStyle w:val="Kopfzeile"/>
            <w:ind w:left="-28" w:right="176"/>
            <w:jc w:val="right"/>
            <w:rPr>
              <w:lang w:val="fr-CH"/>
            </w:rPr>
          </w:pPr>
          <w:r w:rsidRPr="00A616B3">
            <w:rPr>
              <w:sz w:val="18"/>
              <w:szCs w:val="18"/>
              <w:lang w:val="fr-CH"/>
            </w:rPr>
            <w:t>Etat actuel et analyse des potentiels</w:t>
          </w:r>
        </w:p>
      </w:tc>
    </w:tr>
  </w:tbl>
  <w:p w14:paraId="0C3E1AC3" w14:textId="77777777" w:rsidR="00F82B1E" w:rsidRPr="00781E0F" w:rsidRDefault="00F82B1E" w:rsidP="00595461">
    <w:pPr>
      <w:pStyle w:val="Kopfzeile"/>
      <w:rPr>
        <w:lang w:val="fr-CH"/>
      </w:rPr>
    </w:pPr>
  </w:p>
  <w:p w14:paraId="459574B8" w14:textId="77777777" w:rsidR="00F82B1E" w:rsidRPr="00781E0F" w:rsidRDefault="00F82B1E" w:rsidP="00595461">
    <w:pPr>
      <w:pStyle w:val="Kopfzeile"/>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7" w:type="dxa"/>
      <w:tblInd w:w="39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671"/>
      <w:gridCol w:w="3071"/>
      <w:gridCol w:w="2755"/>
    </w:tblGrid>
    <w:tr w:rsidR="00F82B1E" w:rsidRPr="00936B78" w14:paraId="3568C6E4" w14:textId="77777777" w:rsidTr="00936B78">
      <w:trPr>
        <w:trHeight w:val="283"/>
      </w:trPr>
      <w:tc>
        <w:tcPr>
          <w:tcW w:w="3671" w:type="dxa"/>
        </w:tcPr>
        <w:p w14:paraId="7E6A14C7" w14:textId="77777777" w:rsidR="00F82B1E" w:rsidRPr="00936B78" w:rsidRDefault="00F82B1E" w:rsidP="00595461">
          <w:pPr>
            <w:pStyle w:val="Kopfzeile"/>
          </w:pPr>
          <w:r w:rsidRPr="00936B78">
            <w:t>Bundesamt für Energie</w:t>
          </w:r>
        </w:p>
      </w:tc>
      <w:tc>
        <w:tcPr>
          <w:tcW w:w="3071" w:type="dxa"/>
        </w:tcPr>
        <w:p w14:paraId="46AC07CF" w14:textId="77777777" w:rsidR="00F82B1E" w:rsidRPr="00936B78" w:rsidRDefault="00F82B1E" w:rsidP="00595461">
          <w:pPr>
            <w:pStyle w:val="Kopfzeile"/>
          </w:pPr>
        </w:p>
      </w:tc>
      <w:tc>
        <w:tcPr>
          <w:tcW w:w="2755" w:type="dxa"/>
        </w:tcPr>
        <w:p w14:paraId="50B4713B" w14:textId="77777777" w:rsidR="00F82B1E" w:rsidRPr="00936B78" w:rsidRDefault="00F82B1E" w:rsidP="00595461">
          <w:pPr>
            <w:pStyle w:val="Kopfzeile"/>
          </w:pPr>
        </w:p>
      </w:tc>
    </w:tr>
  </w:tbl>
  <w:p w14:paraId="0FA2E63B" w14:textId="77777777" w:rsidR="00F82B1E" w:rsidRDefault="00F82B1E" w:rsidP="0059546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C0BA00"/>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3C76D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7AA3C67"/>
    <w:multiLevelType w:val="hybridMultilevel"/>
    <w:tmpl w:val="15E0A906"/>
    <w:lvl w:ilvl="0" w:tplc="08070001">
      <w:start w:val="1"/>
      <w:numFmt w:val="bullet"/>
      <w:lvlText w:val=""/>
      <w:lvlJc w:val="left"/>
      <w:pPr>
        <w:ind w:left="680" w:hanging="340"/>
      </w:pPr>
      <w:rPr>
        <w:rFonts w:ascii="Symbol" w:hAnsi="Symbol" w:hint="default"/>
      </w:rPr>
    </w:lvl>
    <w:lvl w:ilvl="1" w:tplc="08070001">
      <w:start w:val="1"/>
      <w:numFmt w:val="bullet"/>
      <w:lvlText w:val=""/>
      <w:lvlJc w:val="left"/>
      <w:pPr>
        <w:ind w:left="1247" w:hanging="340"/>
      </w:pPr>
      <w:rPr>
        <w:rFonts w:ascii="Symbol" w:hAnsi="Symbol" w:hint="default"/>
      </w:rPr>
    </w:lvl>
    <w:lvl w:ilvl="2" w:tplc="247CFB72">
      <w:start w:val="1"/>
      <w:numFmt w:val="bullet"/>
      <w:lvlText w:val=""/>
      <w:lvlJc w:val="left"/>
      <w:pPr>
        <w:ind w:left="2500" w:hanging="360"/>
      </w:pPr>
      <w:rPr>
        <w:rFonts w:ascii="Wingdings" w:hAnsi="Wingdings" w:hint="default"/>
      </w:rPr>
    </w:lvl>
    <w:lvl w:ilvl="3" w:tplc="F5D21B7A" w:tentative="1">
      <w:start w:val="1"/>
      <w:numFmt w:val="bullet"/>
      <w:lvlText w:val=""/>
      <w:lvlJc w:val="left"/>
      <w:pPr>
        <w:ind w:left="3220" w:hanging="360"/>
      </w:pPr>
      <w:rPr>
        <w:rFonts w:ascii="Symbol" w:hAnsi="Symbol" w:hint="default"/>
      </w:rPr>
    </w:lvl>
    <w:lvl w:ilvl="4" w:tplc="9DC8A3F0" w:tentative="1">
      <w:start w:val="1"/>
      <w:numFmt w:val="bullet"/>
      <w:lvlText w:val="o"/>
      <w:lvlJc w:val="left"/>
      <w:pPr>
        <w:ind w:left="3940" w:hanging="360"/>
      </w:pPr>
      <w:rPr>
        <w:rFonts w:ascii="Courier New" w:hAnsi="Courier New" w:cs="Courier New" w:hint="default"/>
      </w:rPr>
    </w:lvl>
    <w:lvl w:ilvl="5" w:tplc="A4D63644" w:tentative="1">
      <w:start w:val="1"/>
      <w:numFmt w:val="bullet"/>
      <w:lvlText w:val=""/>
      <w:lvlJc w:val="left"/>
      <w:pPr>
        <w:ind w:left="4660" w:hanging="360"/>
      </w:pPr>
      <w:rPr>
        <w:rFonts w:ascii="Wingdings" w:hAnsi="Wingdings" w:hint="default"/>
      </w:rPr>
    </w:lvl>
    <w:lvl w:ilvl="6" w:tplc="23E8F3FE" w:tentative="1">
      <w:start w:val="1"/>
      <w:numFmt w:val="bullet"/>
      <w:lvlText w:val=""/>
      <w:lvlJc w:val="left"/>
      <w:pPr>
        <w:ind w:left="5380" w:hanging="360"/>
      </w:pPr>
      <w:rPr>
        <w:rFonts w:ascii="Symbol" w:hAnsi="Symbol" w:hint="default"/>
      </w:rPr>
    </w:lvl>
    <w:lvl w:ilvl="7" w:tplc="0E0892C4" w:tentative="1">
      <w:start w:val="1"/>
      <w:numFmt w:val="bullet"/>
      <w:lvlText w:val="o"/>
      <w:lvlJc w:val="left"/>
      <w:pPr>
        <w:ind w:left="6100" w:hanging="360"/>
      </w:pPr>
      <w:rPr>
        <w:rFonts w:ascii="Courier New" w:hAnsi="Courier New" w:cs="Courier New" w:hint="default"/>
      </w:rPr>
    </w:lvl>
    <w:lvl w:ilvl="8" w:tplc="EA4E78EC" w:tentative="1">
      <w:start w:val="1"/>
      <w:numFmt w:val="bullet"/>
      <w:lvlText w:val=""/>
      <w:lvlJc w:val="left"/>
      <w:pPr>
        <w:ind w:left="6820" w:hanging="360"/>
      </w:pPr>
      <w:rPr>
        <w:rFonts w:ascii="Wingdings" w:hAnsi="Wingdings" w:hint="default"/>
      </w:rPr>
    </w:lvl>
  </w:abstractNum>
  <w:abstractNum w:abstractNumId="3" w15:restartNumberingAfterBreak="0">
    <w:nsid w:val="13513166"/>
    <w:multiLevelType w:val="multilevel"/>
    <w:tmpl w:val="9D06578A"/>
    <w:lvl w:ilvl="0">
      <w:start w:val="1"/>
      <w:numFmt w:val="decimal"/>
      <w:pStyle w:val="berschrift1"/>
      <w:lvlText w:val="%1"/>
      <w:lvlJc w:val="left"/>
      <w:pPr>
        <w:ind w:left="1000" w:hanging="432"/>
      </w:pPr>
    </w:lvl>
    <w:lvl w:ilvl="1">
      <w:start w:val="1"/>
      <w:numFmt w:val="decimal"/>
      <w:pStyle w:val="berschrift2"/>
      <w:lvlText w:val="%1.%2"/>
      <w:lvlJc w:val="left"/>
      <w:pPr>
        <w:ind w:left="861" w:hanging="576"/>
      </w:pPr>
    </w:lvl>
    <w:lvl w:ilvl="2">
      <w:start w:val="1"/>
      <w:numFmt w:val="decimal"/>
      <w:pStyle w:val="berschrift3"/>
      <w:lvlText w:val="%1.%2.%3"/>
      <w:lvlJc w:val="left"/>
      <w:pPr>
        <w:ind w:left="1005" w:hanging="720"/>
      </w:pPr>
    </w:lvl>
    <w:lvl w:ilvl="3">
      <w:start w:val="1"/>
      <w:numFmt w:val="decimal"/>
      <w:pStyle w:val="berschrift4"/>
      <w:lvlText w:val="%1.%2.%3.%4"/>
      <w:lvlJc w:val="left"/>
      <w:pPr>
        <w:ind w:left="1149" w:hanging="864"/>
      </w:pPr>
    </w:lvl>
    <w:lvl w:ilvl="4">
      <w:start w:val="1"/>
      <w:numFmt w:val="decimal"/>
      <w:pStyle w:val="berschrift5"/>
      <w:lvlText w:val="%1.%2.%3.%4.%5"/>
      <w:lvlJc w:val="left"/>
      <w:pPr>
        <w:ind w:left="1293" w:hanging="1008"/>
      </w:pPr>
    </w:lvl>
    <w:lvl w:ilvl="5">
      <w:start w:val="1"/>
      <w:numFmt w:val="decimal"/>
      <w:pStyle w:val="berschrift6"/>
      <w:lvlText w:val="%1.%2.%3.%4.%5.%6"/>
      <w:lvlJc w:val="left"/>
      <w:pPr>
        <w:ind w:left="1437" w:hanging="1152"/>
      </w:pPr>
    </w:lvl>
    <w:lvl w:ilvl="6">
      <w:start w:val="1"/>
      <w:numFmt w:val="decimal"/>
      <w:pStyle w:val="berschrift7"/>
      <w:lvlText w:val="%1.%2.%3.%4.%5.%6.%7"/>
      <w:lvlJc w:val="left"/>
      <w:pPr>
        <w:ind w:left="1581" w:hanging="1296"/>
      </w:pPr>
    </w:lvl>
    <w:lvl w:ilvl="7">
      <w:start w:val="1"/>
      <w:numFmt w:val="decimal"/>
      <w:pStyle w:val="berschrift8"/>
      <w:lvlText w:val="%1.%2.%3.%4.%5.%6.%7.%8"/>
      <w:lvlJc w:val="left"/>
      <w:pPr>
        <w:ind w:left="1725" w:hanging="1440"/>
      </w:pPr>
    </w:lvl>
    <w:lvl w:ilvl="8">
      <w:start w:val="1"/>
      <w:numFmt w:val="decimal"/>
      <w:pStyle w:val="berschrift9"/>
      <w:lvlText w:val="%1.%2.%3.%4.%5.%6.%7.%8.%9"/>
      <w:lvlJc w:val="left"/>
      <w:pPr>
        <w:ind w:left="1869" w:hanging="1584"/>
      </w:pPr>
    </w:lvl>
  </w:abstractNum>
  <w:abstractNum w:abstractNumId="4" w15:restartNumberingAfterBreak="0">
    <w:nsid w:val="149373B7"/>
    <w:multiLevelType w:val="hybridMultilevel"/>
    <w:tmpl w:val="1FBA6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AD472D8"/>
    <w:multiLevelType w:val="hybridMultilevel"/>
    <w:tmpl w:val="1E482570"/>
    <w:lvl w:ilvl="0" w:tplc="8D9634C0">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E345DB1"/>
    <w:multiLevelType w:val="hybridMultilevel"/>
    <w:tmpl w:val="41A02C58"/>
    <w:lvl w:ilvl="0" w:tplc="08070001">
      <w:start w:val="1"/>
      <w:numFmt w:val="bullet"/>
      <w:lvlText w:val=""/>
      <w:lvlJc w:val="left"/>
      <w:pPr>
        <w:ind w:left="700" w:hanging="360"/>
      </w:pPr>
      <w:rPr>
        <w:rFonts w:ascii="Symbol" w:hAnsi="Symbol" w:hint="default"/>
      </w:rPr>
    </w:lvl>
    <w:lvl w:ilvl="1" w:tplc="08070003" w:tentative="1">
      <w:start w:val="1"/>
      <w:numFmt w:val="bullet"/>
      <w:lvlText w:val="o"/>
      <w:lvlJc w:val="left"/>
      <w:pPr>
        <w:ind w:left="1420" w:hanging="360"/>
      </w:pPr>
      <w:rPr>
        <w:rFonts w:ascii="Courier New" w:hAnsi="Courier New" w:cs="Courier New" w:hint="default"/>
      </w:rPr>
    </w:lvl>
    <w:lvl w:ilvl="2" w:tplc="08070005" w:tentative="1">
      <w:start w:val="1"/>
      <w:numFmt w:val="bullet"/>
      <w:lvlText w:val=""/>
      <w:lvlJc w:val="left"/>
      <w:pPr>
        <w:ind w:left="2140" w:hanging="360"/>
      </w:pPr>
      <w:rPr>
        <w:rFonts w:ascii="Wingdings" w:hAnsi="Wingdings" w:hint="default"/>
      </w:rPr>
    </w:lvl>
    <w:lvl w:ilvl="3" w:tplc="08070001" w:tentative="1">
      <w:start w:val="1"/>
      <w:numFmt w:val="bullet"/>
      <w:lvlText w:val=""/>
      <w:lvlJc w:val="left"/>
      <w:pPr>
        <w:ind w:left="2860" w:hanging="360"/>
      </w:pPr>
      <w:rPr>
        <w:rFonts w:ascii="Symbol" w:hAnsi="Symbol" w:hint="default"/>
      </w:rPr>
    </w:lvl>
    <w:lvl w:ilvl="4" w:tplc="08070003" w:tentative="1">
      <w:start w:val="1"/>
      <w:numFmt w:val="bullet"/>
      <w:lvlText w:val="o"/>
      <w:lvlJc w:val="left"/>
      <w:pPr>
        <w:ind w:left="3580" w:hanging="360"/>
      </w:pPr>
      <w:rPr>
        <w:rFonts w:ascii="Courier New" w:hAnsi="Courier New" w:cs="Courier New" w:hint="default"/>
      </w:rPr>
    </w:lvl>
    <w:lvl w:ilvl="5" w:tplc="08070005" w:tentative="1">
      <w:start w:val="1"/>
      <w:numFmt w:val="bullet"/>
      <w:lvlText w:val=""/>
      <w:lvlJc w:val="left"/>
      <w:pPr>
        <w:ind w:left="4300" w:hanging="360"/>
      </w:pPr>
      <w:rPr>
        <w:rFonts w:ascii="Wingdings" w:hAnsi="Wingdings" w:hint="default"/>
      </w:rPr>
    </w:lvl>
    <w:lvl w:ilvl="6" w:tplc="08070001" w:tentative="1">
      <w:start w:val="1"/>
      <w:numFmt w:val="bullet"/>
      <w:lvlText w:val=""/>
      <w:lvlJc w:val="left"/>
      <w:pPr>
        <w:ind w:left="5020" w:hanging="360"/>
      </w:pPr>
      <w:rPr>
        <w:rFonts w:ascii="Symbol" w:hAnsi="Symbol" w:hint="default"/>
      </w:rPr>
    </w:lvl>
    <w:lvl w:ilvl="7" w:tplc="08070003" w:tentative="1">
      <w:start w:val="1"/>
      <w:numFmt w:val="bullet"/>
      <w:lvlText w:val="o"/>
      <w:lvlJc w:val="left"/>
      <w:pPr>
        <w:ind w:left="5740" w:hanging="360"/>
      </w:pPr>
      <w:rPr>
        <w:rFonts w:ascii="Courier New" w:hAnsi="Courier New" w:cs="Courier New" w:hint="default"/>
      </w:rPr>
    </w:lvl>
    <w:lvl w:ilvl="8" w:tplc="08070005" w:tentative="1">
      <w:start w:val="1"/>
      <w:numFmt w:val="bullet"/>
      <w:lvlText w:val=""/>
      <w:lvlJc w:val="left"/>
      <w:pPr>
        <w:ind w:left="6460" w:hanging="360"/>
      </w:pPr>
      <w:rPr>
        <w:rFonts w:ascii="Wingdings" w:hAnsi="Wingdings" w:hint="default"/>
      </w:rPr>
    </w:lvl>
  </w:abstractNum>
  <w:abstractNum w:abstractNumId="7" w15:restartNumberingAfterBreak="0">
    <w:nsid w:val="1E3E7673"/>
    <w:multiLevelType w:val="hybridMultilevel"/>
    <w:tmpl w:val="D83AE390"/>
    <w:lvl w:ilvl="0" w:tplc="B6FEA67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3F6A8E"/>
    <w:multiLevelType w:val="hybridMultilevel"/>
    <w:tmpl w:val="74623760"/>
    <w:lvl w:ilvl="0" w:tplc="95DA622C">
      <w:start w:val="1"/>
      <w:numFmt w:val="decimal"/>
      <w:lvlText w:val="%1."/>
      <w:lvlJc w:val="left"/>
      <w:pPr>
        <w:ind w:left="720" w:hanging="360"/>
      </w:pPr>
      <w:rPr>
        <w:rFonts w:hint="default"/>
      </w:rPr>
    </w:lvl>
    <w:lvl w:ilvl="1" w:tplc="8D9634C0" w:tentative="1">
      <w:start w:val="1"/>
      <w:numFmt w:val="lowerLetter"/>
      <w:lvlText w:val="%2."/>
      <w:lvlJc w:val="left"/>
      <w:pPr>
        <w:ind w:left="1440" w:hanging="360"/>
      </w:pPr>
    </w:lvl>
    <w:lvl w:ilvl="2" w:tplc="247CFB72" w:tentative="1">
      <w:start w:val="1"/>
      <w:numFmt w:val="lowerRoman"/>
      <w:lvlText w:val="%3."/>
      <w:lvlJc w:val="right"/>
      <w:pPr>
        <w:ind w:left="2160" w:hanging="180"/>
      </w:pPr>
    </w:lvl>
    <w:lvl w:ilvl="3" w:tplc="F5D21B7A" w:tentative="1">
      <w:start w:val="1"/>
      <w:numFmt w:val="decimal"/>
      <w:lvlText w:val="%4."/>
      <w:lvlJc w:val="left"/>
      <w:pPr>
        <w:ind w:left="2880" w:hanging="360"/>
      </w:pPr>
    </w:lvl>
    <w:lvl w:ilvl="4" w:tplc="9DC8A3F0" w:tentative="1">
      <w:start w:val="1"/>
      <w:numFmt w:val="lowerLetter"/>
      <w:lvlText w:val="%5."/>
      <w:lvlJc w:val="left"/>
      <w:pPr>
        <w:ind w:left="3600" w:hanging="360"/>
      </w:pPr>
    </w:lvl>
    <w:lvl w:ilvl="5" w:tplc="A4D63644" w:tentative="1">
      <w:start w:val="1"/>
      <w:numFmt w:val="lowerRoman"/>
      <w:lvlText w:val="%6."/>
      <w:lvlJc w:val="right"/>
      <w:pPr>
        <w:ind w:left="4320" w:hanging="180"/>
      </w:pPr>
    </w:lvl>
    <w:lvl w:ilvl="6" w:tplc="23E8F3FE" w:tentative="1">
      <w:start w:val="1"/>
      <w:numFmt w:val="decimal"/>
      <w:lvlText w:val="%7."/>
      <w:lvlJc w:val="left"/>
      <w:pPr>
        <w:ind w:left="5040" w:hanging="360"/>
      </w:pPr>
    </w:lvl>
    <w:lvl w:ilvl="7" w:tplc="0E0892C4" w:tentative="1">
      <w:start w:val="1"/>
      <w:numFmt w:val="lowerLetter"/>
      <w:lvlText w:val="%8."/>
      <w:lvlJc w:val="left"/>
      <w:pPr>
        <w:ind w:left="5760" w:hanging="360"/>
      </w:pPr>
    </w:lvl>
    <w:lvl w:ilvl="8" w:tplc="EA4E78EC" w:tentative="1">
      <w:start w:val="1"/>
      <w:numFmt w:val="lowerRoman"/>
      <w:lvlText w:val="%9."/>
      <w:lvlJc w:val="right"/>
      <w:pPr>
        <w:ind w:left="6480" w:hanging="180"/>
      </w:pPr>
    </w:lvl>
  </w:abstractNum>
  <w:abstractNum w:abstractNumId="9" w15:restartNumberingAfterBreak="0">
    <w:nsid w:val="25D7700A"/>
    <w:multiLevelType w:val="multilevel"/>
    <w:tmpl w:val="358818EE"/>
    <w:lvl w:ilvl="0">
      <w:start w:val="1"/>
      <w:numFmt w:val="decimal"/>
      <w:pStyle w:val="ListWithNumbers"/>
      <w:lvlText w:val="%1"/>
      <w:lvlJc w:val="left"/>
      <w:pPr>
        <w:tabs>
          <w:tab w:val="num" w:pos="680"/>
        </w:tabs>
        <w:ind w:left="964" w:hanging="284"/>
      </w:pPr>
      <w:rPr>
        <w:rFonts w:hint="default"/>
      </w:rPr>
    </w:lvl>
    <w:lvl w:ilvl="1">
      <w:start w:val="1"/>
      <w:numFmt w:val="decimal"/>
      <w:lvlText w:val="%2"/>
      <w:lvlJc w:val="left"/>
      <w:pPr>
        <w:tabs>
          <w:tab w:val="num" w:pos="964"/>
        </w:tabs>
        <w:ind w:left="1247" w:hanging="283"/>
      </w:pPr>
      <w:rPr>
        <w:rFonts w:hint="default"/>
      </w:rPr>
    </w:lvl>
    <w:lvl w:ilvl="2">
      <w:start w:val="1"/>
      <w:numFmt w:val="decimal"/>
      <w:lvlText w:val="%3"/>
      <w:lvlJc w:val="left"/>
      <w:pPr>
        <w:tabs>
          <w:tab w:val="num" w:pos="1247"/>
        </w:tabs>
        <w:ind w:left="1531" w:hanging="284"/>
      </w:pPr>
      <w:rPr>
        <w:rFonts w:hint="default"/>
      </w:rPr>
    </w:lvl>
    <w:lvl w:ilvl="3">
      <w:start w:val="1"/>
      <w:numFmt w:val="decimal"/>
      <w:lvlText w:val="%4"/>
      <w:lvlJc w:val="left"/>
      <w:pPr>
        <w:tabs>
          <w:tab w:val="num" w:pos="1531"/>
        </w:tabs>
        <w:ind w:left="1814" w:hanging="283"/>
      </w:pPr>
      <w:rPr>
        <w:rFonts w:hint="default"/>
      </w:rPr>
    </w:lvl>
    <w:lvl w:ilvl="4">
      <w:start w:val="1"/>
      <w:numFmt w:val="decimal"/>
      <w:lvlText w:val="%5"/>
      <w:lvlJc w:val="left"/>
      <w:pPr>
        <w:tabs>
          <w:tab w:val="num" w:pos="1814"/>
        </w:tabs>
        <w:ind w:left="2098" w:hanging="284"/>
      </w:pPr>
      <w:rPr>
        <w:rFonts w:hint="default"/>
      </w:rPr>
    </w:lvl>
    <w:lvl w:ilvl="5">
      <w:start w:val="1"/>
      <w:numFmt w:val="decimal"/>
      <w:lvlText w:val="%6"/>
      <w:lvlJc w:val="left"/>
      <w:pPr>
        <w:tabs>
          <w:tab w:val="num" w:pos="2098"/>
        </w:tabs>
        <w:ind w:left="2381" w:hanging="283"/>
      </w:pPr>
      <w:rPr>
        <w:rFonts w:hint="default"/>
      </w:rPr>
    </w:lvl>
    <w:lvl w:ilvl="6">
      <w:start w:val="1"/>
      <w:numFmt w:val="decimal"/>
      <w:lvlText w:val="%7."/>
      <w:lvlJc w:val="left"/>
      <w:pPr>
        <w:tabs>
          <w:tab w:val="num" w:pos="2381"/>
        </w:tabs>
        <w:ind w:left="2665" w:hanging="284"/>
      </w:pPr>
      <w:rPr>
        <w:rFonts w:hint="default"/>
      </w:rPr>
    </w:lvl>
    <w:lvl w:ilvl="7">
      <w:start w:val="1"/>
      <w:numFmt w:val="decimal"/>
      <w:lvlText w:val="%8."/>
      <w:lvlJc w:val="left"/>
      <w:pPr>
        <w:tabs>
          <w:tab w:val="num" w:pos="2665"/>
        </w:tabs>
        <w:ind w:left="2948" w:hanging="283"/>
      </w:pPr>
      <w:rPr>
        <w:rFonts w:hint="default"/>
      </w:rPr>
    </w:lvl>
    <w:lvl w:ilvl="8">
      <w:start w:val="1"/>
      <w:numFmt w:val="decimal"/>
      <w:lvlText w:val="%9."/>
      <w:lvlJc w:val="left"/>
      <w:pPr>
        <w:tabs>
          <w:tab w:val="num" w:pos="2948"/>
        </w:tabs>
        <w:ind w:left="3232" w:hanging="284"/>
      </w:pPr>
      <w:rPr>
        <w:rFonts w:hint="default"/>
      </w:rPr>
    </w:lvl>
  </w:abstractNum>
  <w:abstractNum w:abstractNumId="10" w15:restartNumberingAfterBreak="0">
    <w:nsid w:val="2BB46404"/>
    <w:multiLevelType w:val="hybridMultilevel"/>
    <w:tmpl w:val="6AAE0C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2176DA"/>
    <w:multiLevelType w:val="hybridMultilevel"/>
    <w:tmpl w:val="9710EB9C"/>
    <w:lvl w:ilvl="0" w:tplc="08070001">
      <w:start w:val="1"/>
      <w:numFmt w:val="bullet"/>
      <w:lvlText w:val=""/>
      <w:lvlJc w:val="left"/>
      <w:pPr>
        <w:ind w:left="700" w:hanging="360"/>
      </w:pPr>
      <w:rPr>
        <w:rFonts w:ascii="Symbol" w:hAnsi="Symbol" w:hint="default"/>
      </w:rPr>
    </w:lvl>
    <w:lvl w:ilvl="1" w:tplc="08070003" w:tentative="1">
      <w:start w:val="1"/>
      <w:numFmt w:val="bullet"/>
      <w:lvlText w:val="o"/>
      <w:lvlJc w:val="left"/>
      <w:pPr>
        <w:ind w:left="1420" w:hanging="360"/>
      </w:pPr>
      <w:rPr>
        <w:rFonts w:ascii="Courier New" w:hAnsi="Courier New" w:cs="Courier New" w:hint="default"/>
      </w:rPr>
    </w:lvl>
    <w:lvl w:ilvl="2" w:tplc="08070005" w:tentative="1">
      <w:start w:val="1"/>
      <w:numFmt w:val="bullet"/>
      <w:lvlText w:val=""/>
      <w:lvlJc w:val="left"/>
      <w:pPr>
        <w:ind w:left="2140" w:hanging="360"/>
      </w:pPr>
      <w:rPr>
        <w:rFonts w:ascii="Wingdings" w:hAnsi="Wingdings" w:hint="default"/>
      </w:rPr>
    </w:lvl>
    <w:lvl w:ilvl="3" w:tplc="08070001" w:tentative="1">
      <w:start w:val="1"/>
      <w:numFmt w:val="bullet"/>
      <w:lvlText w:val=""/>
      <w:lvlJc w:val="left"/>
      <w:pPr>
        <w:ind w:left="2860" w:hanging="360"/>
      </w:pPr>
      <w:rPr>
        <w:rFonts w:ascii="Symbol" w:hAnsi="Symbol" w:hint="default"/>
      </w:rPr>
    </w:lvl>
    <w:lvl w:ilvl="4" w:tplc="08070003" w:tentative="1">
      <w:start w:val="1"/>
      <w:numFmt w:val="bullet"/>
      <w:lvlText w:val="o"/>
      <w:lvlJc w:val="left"/>
      <w:pPr>
        <w:ind w:left="3580" w:hanging="360"/>
      </w:pPr>
      <w:rPr>
        <w:rFonts w:ascii="Courier New" w:hAnsi="Courier New" w:cs="Courier New" w:hint="default"/>
      </w:rPr>
    </w:lvl>
    <w:lvl w:ilvl="5" w:tplc="08070005" w:tentative="1">
      <w:start w:val="1"/>
      <w:numFmt w:val="bullet"/>
      <w:lvlText w:val=""/>
      <w:lvlJc w:val="left"/>
      <w:pPr>
        <w:ind w:left="4300" w:hanging="360"/>
      </w:pPr>
      <w:rPr>
        <w:rFonts w:ascii="Wingdings" w:hAnsi="Wingdings" w:hint="default"/>
      </w:rPr>
    </w:lvl>
    <w:lvl w:ilvl="6" w:tplc="08070001" w:tentative="1">
      <w:start w:val="1"/>
      <w:numFmt w:val="bullet"/>
      <w:lvlText w:val=""/>
      <w:lvlJc w:val="left"/>
      <w:pPr>
        <w:ind w:left="5020" w:hanging="360"/>
      </w:pPr>
      <w:rPr>
        <w:rFonts w:ascii="Symbol" w:hAnsi="Symbol" w:hint="default"/>
      </w:rPr>
    </w:lvl>
    <w:lvl w:ilvl="7" w:tplc="08070003" w:tentative="1">
      <w:start w:val="1"/>
      <w:numFmt w:val="bullet"/>
      <w:lvlText w:val="o"/>
      <w:lvlJc w:val="left"/>
      <w:pPr>
        <w:ind w:left="5740" w:hanging="360"/>
      </w:pPr>
      <w:rPr>
        <w:rFonts w:ascii="Courier New" w:hAnsi="Courier New" w:cs="Courier New" w:hint="default"/>
      </w:rPr>
    </w:lvl>
    <w:lvl w:ilvl="8" w:tplc="08070005" w:tentative="1">
      <w:start w:val="1"/>
      <w:numFmt w:val="bullet"/>
      <w:lvlText w:val=""/>
      <w:lvlJc w:val="left"/>
      <w:pPr>
        <w:ind w:left="6460" w:hanging="360"/>
      </w:pPr>
      <w:rPr>
        <w:rFonts w:ascii="Wingdings" w:hAnsi="Wingdings" w:hint="default"/>
      </w:rPr>
    </w:lvl>
  </w:abstractNum>
  <w:abstractNum w:abstractNumId="12" w15:restartNumberingAfterBreak="0">
    <w:nsid w:val="38A96858"/>
    <w:multiLevelType w:val="hybridMultilevel"/>
    <w:tmpl w:val="AE70A094"/>
    <w:lvl w:ilvl="0" w:tplc="95DA622C">
      <w:start w:val="1"/>
      <w:numFmt w:val="bullet"/>
      <w:pStyle w:val="43PfeileinzugAltD"/>
      <w:lvlText w:val="&gt;"/>
      <w:lvlJc w:val="left"/>
      <w:pPr>
        <w:tabs>
          <w:tab w:val="num" w:pos="227"/>
        </w:tabs>
        <w:ind w:left="227" w:hanging="227"/>
      </w:pPr>
      <w:rPr>
        <w:rFonts w:ascii="Arial" w:hAnsi="Arial" w:hint="default"/>
        <w:b/>
        <w:i w:val="0"/>
        <w:sz w:val="18"/>
        <w:szCs w:val="18"/>
      </w:rPr>
    </w:lvl>
    <w:lvl w:ilvl="1" w:tplc="8D9634C0">
      <w:start w:val="1"/>
      <w:numFmt w:val="bullet"/>
      <w:lvlText w:val="o"/>
      <w:lvlJc w:val="left"/>
      <w:pPr>
        <w:tabs>
          <w:tab w:val="num" w:pos="1440"/>
        </w:tabs>
        <w:ind w:left="1440" w:hanging="360"/>
      </w:pPr>
      <w:rPr>
        <w:rFonts w:ascii="Courier New" w:hAnsi="Courier New" w:cs="Courier New" w:hint="default"/>
      </w:rPr>
    </w:lvl>
    <w:lvl w:ilvl="2" w:tplc="247CFB72" w:tentative="1">
      <w:start w:val="1"/>
      <w:numFmt w:val="bullet"/>
      <w:lvlText w:val=""/>
      <w:lvlJc w:val="left"/>
      <w:pPr>
        <w:tabs>
          <w:tab w:val="num" w:pos="2160"/>
        </w:tabs>
        <w:ind w:left="2160" w:hanging="360"/>
      </w:pPr>
      <w:rPr>
        <w:rFonts w:ascii="Wingdings" w:hAnsi="Wingdings" w:hint="default"/>
      </w:rPr>
    </w:lvl>
    <w:lvl w:ilvl="3" w:tplc="F5D21B7A" w:tentative="1">
      <w:start w:val="1"/>
      <w:numFmt w:val="bullet"/>
      <w:lvlText w:val=""/>
      <w:lvlJc w:val="left"/>
      <w:pPr>
        <w:tabs>
          <w:tab w:val="num" w:pos="2880"/>
        </w:tabs>
        <w:ind w:left="2880" w:hanging="360"/>
      </w:pPr>
      <w:rPr>
        <w:rFonts w:ascii="Symbol" w:hAnsi="Symbol" w:hint="default"/>
      </w:rPr>
    </w:lvl>
    <w:lvl w:ilvl="4" w:tplc="9DC8A3F0" w:tentative="1">
      <w:start w:val="1"/>
      <w:numFmt w:val="bullet"/>
      <w:lvlText w:val="o"/>
      <w:lvlJc w:val="left"/>
      <w:pPr>
        <w:tabs>
          <w:tab w:val="num" w:pos="3600"/>
        </w:tabs>
        <w:ind w:left="3600" w:hanging="360"/>
      </w:pPr>
      <w:rPr>
        <w:rFonts w:ascii="Courier New" w:hAnsi="Courier New" w:cs="Courier New" w:hint="default"/>
      </w:rPr>
    </w:lvl>
    <w:lvl w:ilvl="5" w:tplc="A4D63644" w:tentative="1">
      <w:start w:val="1"/>
      <w:numFmt w:val="bullet"/>
      <w:lvlText w:val=""/>
      <w:lvlJc w:val="left"/>
      <w:pPr>
        <w:tabs>
          <w:tab w:val="num" w:pos="4320"/>
        </w:tabs>
        <w:ind w:left="4320" w:hanging="360"/>
      </w:pPr>
      <w:rPr>
        <w:rFonts w:ascii="Wingdings" w:hAnsi="Wingdings" w:hint="default"/>
      </w:rPr>
    </w:lvl>
    <w:lvl w:ilvl="6" w:tplc="23E8F3FE" w:tentative="1">
      <w:start w:val="1"/>
      <w:numFmt w:val="bullet"/>
      <w:lvlText w:val=""/>
      <w:lvlJc w:val="left"/>
      <w:pPr>
        <w:tabs>
          <w:tab w:val="num" w:pos="5040"/>
        </w:tabs>
        <w:ind w:left="5040" w:hanging="360"/>
      </w:pPr>
      <w:rPr>
        <w:rFonts w:ascii="Symbol" w:hAnsi="Symbol" w:hint="default"/>
      </w:rPr>
    </w:lvl>
    <w:lvl w:ilvl="7" w:tplc="0E0892C4" w:tentative="1">
      <w:start w:val="1"/>
      <w:numFmt w:val="bullet"/>
      <w:lvlText w:val="o"/>
      <w:lvlJc w:val="left"/>
      <w:pPr>
        <w:tabs>
          <w:tab w:val="num" w:pos="5760"/>
        </w:tabs>
        <w:ind w:left="5760" w:hanging="360"/>
      </w:pPr>
      <w:rPr>
        <w:rFonts w:ascii="Courier New" w:hAnsi="Courier New" w:cs="Courier New" w:hint="default"/>
      </w:rPr>
    </w:lvl>
    <w:lvl w:ilvl="8" w:tplc="EA4E78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B1344"/>
    <w:multiLevelType w:val="hybridMultilevel"/>
    <w:tmpl w:val="53FEAB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C0C5090"/>
    <w:multiLevelType w:val="hybridMultilevel"/>
    <w:tmpl w:val="E570B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2696D61"/>
    <w:multiLevelType w:val="hybridMultilevel"/>
    <w:tmpl w:val="DA323554"/>
    <w:lvl w:ilvl="0" w:tplc="B6FEA67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FF356D"/>
    <w:multiLevelType w:val="singleLevel"/>
    <w:tmpl w:val="188037B8"/>
    <w:lvl w:ilvl="0">
      <w:start w:val="1"/>
      <w:numFmt w:val="bullet"/>
      <w:pStyle w:val="Punkt1"/>
      <w:lvlText w:val=""/>
      <w:lvlJc w:val="left"/>
      <w:pPr>
        <w:tabs>
          <w:tab w:val="num" w:pos="360"/>
        </w:tabs>
        <w:ind w:left="283" w:hanging="283"/>
      </w:pPr>
      <w:rPr>
        <w:rFonts w:ascii="Symbol" w:hAnsi="Symbol" w:hint="default"/>
        <w:b w:val="0"/>
        <w:i w:val="0"/>
        <w:sz w:val="22"/>
      </w:rPr>
    </w:lvl>
  </w:abstractNum>
  <w:abstractNum w:abstractNumId="17" w15:restartNumberingAfterBreak="0">
    <w:nsid w:val="499A533C"/>
    <w:multiLevelType w:val="hybridMultilevel"/>
    <w:tmpl w:val="EC982314"/>
    <w:lvl w:ilvl="0" w:tplc="95DA622C">
      <w:start w:val="1"/>
      <w:numFmt w:val="bullet"/>
      <w:lvlText w:val="–"/>
      <w:lvlJc w:val="left"/>
      <w:pPr>
        <w:ind w:left="1440" w:hanging="360"/>
      </w:pPr>
      <w:rPr>
        <w:rFonts w:ascii="Arial" w:hAnsi="Arial" w:hint="default"/>
      </w:rPr>
    </w:lvl>
    <w:lvl w:ilvl="1" w:tplc="8D9634C0" w:tentative="1">
      <w:start w:val="1"/>
      <w:numFmt w:val="bullet"/>
      <w:lvlText w:val="o"/>
      <w:lvlJc w:val="left"/>
      <w:pPr>
        <w:ind w:left="2160" w:hanging="360"/>
      </w:pPr>
      <w:rPr>
        <w:rFonts w:ascii="Courier New" w:hAnsi="Courier New" w:cs="Courier New" w:hint="default"/>
      </w:rPr>
    </w:lvl>
    <w:lvl w:ilvl="2" w:tplc="247CFB72" w:tentative="1">
      <w:start w:val="1"/>
      <w:numFmt w:val="bullet"/>
      <w:lvlText w:val=""/>
      <w:lvlJc w:val="left"/>
      <w:pPr>
        <w:ind w:left="2880" w:hanging="360"/>
      </w:pPr>
      <w:rPr>
        <w:rFonts w:ascii="Wingdings" w:hAnsi="Wingdings" w:hint="default"/>
      </w:rPr>
    </w:lvl>
    <w:lvl w:ilvl="3" w:tplc="F5D21B7A" w:tentative="1">
      <w:start w:val="1"/>
      <w:numFmt w:val="bullet"/>
      <w:lvlText w:val=""/>
      <w:lvlJc w:val="left"/>
      <w:pPr>
        <w:ind w:left="3600" w:hanging="360"/>
      </w:pPr>
      <w:rPr>
        <w:rFonts w:ascii="Symbol" w:hAnsi="Symbol" w:hint="default"/>
      </w:rPr>
    </w:lvl>
    <w:lvl w:ilvl="4" w:tplc="9DC8A3F0" w:tentative="1">
      <w:start w:val="1"/>
      <w:numFmt w:val="bullet"/>
      <w:lvlText w:val="o"/>
      <w:lvlJc w:val="left"/>
      <w:pPr>
        <w:ind w:left="4320" w:hanging="360"/>
      </w:pPr>
      <w:rPr>
        <w:rFonts w:ascii="Courier New" w:hAnsi="Courier New" w:cs="Courier New" w:hint="default"/>
      </w:rPr>
    </w:lvl>
    <w:lvl w:ilvl="5" w:tplc="A4D63644" w:tentative="1">
      <w:start w:val="1"/>
      <w:numFmt w:val="bullet"/>
      <w:lvlText w:val=""/>
      <w:lvlJc w:val="left"/>
      <w:pPr>
        <w:ind w:left="5040" w:hanging="360"/>
      </w:pPr>
      <w:rPr>
        <w:rFonts w:ascii="Wingdings" w:hAnsi="Wingdings" w:hint="default"/>
      </w:rPr>
    </w:lvl>
    <w:lvl w:ilvl="6" w:tplc="23E8F3FE" w:tentative="1">
      <w:start w:val="1"/>
      <w:numFmt w:val="bullet"/>
      <w:lvlText w:val=""/>
      <w:lvlJc w:val="left"/>
      <w:pPr>
        <w:ind w:left="5760" w:hanging="360"/>
      </w:pPr>
      <w:rPr>
        <w:rFonts w:ascii="Symbol" w:hAnsi="Symbol" w:hint="default"/>
      </w:rPr>
    </w:lvl>
    <w:lvl w:ilvl="7" w:tplc="0E0892C4" w:tentative="1">
      <w:start w:val="1"/>
      <w:numFmt w:val="bullet"/>
      <w:lvlText w:val="o"/>
      <w:lvlJc w:val="left"/>
      <w:pPr>
        <w:ind w:left="6480" w:hanging="360"/>
      </w:pPr>
      <w:rPr>
        <w:rFonts w:ascii="Courier New" w:hAnsi="Courier New" w:cs="Courier New" w:hint="default"/>
      </w:rPr>
    </w:lvl>
    <w:lvl w:ilvl="8" w:tplc="EA4E78EC" w:tentative="1">
      <w:start w:val="1"/>
      <w:numFmt w:val="bullet"/>
      <w:lvlText w:val=""/>
      <w:lvlJc w:val="left"/>
      <w:pPr>
        <w:ind w:left="7200" w:hanging="360"/>
      </w:pPr>
      <w:rPr>
        <w:rFonts w:ascii="Wingdings" w:hAnsi="Wingdings" w:hint="default"/>
      </w:rPr>
    </w:lvl>
  </w:abstractNum>
  <w:abstractNum w:abstractNumId="18" w15:restartNumberingAfterBreak="0">
    <w:nsid w:val="51597BDB"/>
    <w:multiLevelType w:val="hybridMultilevel"/>
    <w:tmpl w:val="B1FC90CA"/>
    <w:lvl w:ilvl="0" w:tplc="B6FEA67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EE42A8"/>
    <w:multiLevelType w:val="hybridMultilevel"/>
    <w:tmpl w:val="D47072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A4726B0"/>
    <w:multiLevelType w:val="hybridMultilevel"/>
    <w:tmpl w:val="A7BC4232"/>
    <w:lvl w:ilvl="0" w:tplc="4AFE7530">
      <w:start w:val="1"/>
      <w:numFmt w:val="bullet"/>
      <w:pStyle w:val="AuflistungHilfestellung"/>
      <w:lvlText w:val=""/>
      <w:lvlJc w:val="left"/>
      <w:pPr>
        <w:ind w:left="340" w:hanging="340"/>
      </w:pPr>
      <w:rPr>
        <w:rFonts w:ascii="Wingdings" w:hAnsi="Wingdings" w:hint="default"/>
      </w:rPr>
    </w:lvl>
    <w:lvl w:ilvl="1" w:tplc="8D9634C0">
      <w:start w:val="1"/>
      <w:numFmt w:val="bullet"/>
      <w:lvlText w:val="o"/>
      <w:lvlJc w:val="left"/>
      <w:pPr>
        <w:ind w:left="907" w:hanging="340"/>
      </w:pPr>
      <w:rPr>
        <w:rFonts w:ascii="Courier New" w:hAnsi="Courier New" w:hint="default"/>
      </w:rPr>
    </w:lvl>
    <w:lvl w:ilvl="2" w:tplc="247CFB72">
      <w:start w:val="1"/>
      <w:numFmt w:val="bullet"/>
      <w:lvlText w:val=""/>
      <w:lvlJc w:val="left"/>
      <w:pPr>
        <w:ind w:left="2160" w:hanging="360"/>
      </w:pPr>
      <w:rPr>
        <w:rFonts w:ascii="Wingdings" w:hAnsi="Wingdings" w:hint="default"/>
      </w:rPr>
    </w:lvl>
    <w:lvl w:ilvl="3" w:tplc="F5D21B7A" w:tentative="1">
      <w:start w:val="1"/>
      <w:numFmt w:val="bullet"/>
      <w:lvlText w:val=""/>
      <w:lvlJc w:val="left"/>
      <w:pPr>
        <w:ind w:left="2880" w:hanging="360"/>
      </w:pPr>
      <w:rPr>
        <w:rFonts w:ascii="Symbol" w:hAnsi="Symbol" w:hint="default"/>
      </w:rPr>
    </w:lvl>
    <w:lvl w:ilvl="4" w:tplc="9DC8A3F0" w:tentative="1">
      <w:start w:val="1"/>
      <w:numFmt w:val="bullet"/>
      <w:lvlText w:val="o"/>
      <w:lvlJc w:val="left"/>
      <w:pPr>
        <w:ind w:left="3600" w:hanging="360"/>
      </w:pPr>
      <w:rPr>
        <w:rFonts w:ascii="Courier New" w:hAnsi="Courier New" w:cs="Courier New" w:hint="default"/>
      </w:rPr>
    </w:lvl>
    <w:lvl w:ilvl="5" w:tplc="A4D63644" w:tentative="1">
      <w:start w:val="1"/>
      <w:numFmt w:val="bullet"/>
      <w:lvlText w:val=""/>
      <w:lvlJc w:val="left"/>
      <w:pPr>
        <w:ind w:left="4320" w:hanging="360"/>
      </w:pPr>
      <w:rPr>
        <w:rFonts w:ascii="Wingdings" w:hAnsi="Wingdings" w:hint="default"/>
      </w:rPr>
    </w:lvl>
    <w:lvl w:ilvl="6" w:tplc="23E8F3FE" w:tentative="1">
      <w:start w:val="1"/>
      <w:numFmt w:val="bullet"/>
      <w:lvlText w:val=""/>
      <w:lvlJc w:val="left"/>
      <w:pPr>
        <w:ind w:left="5040" w:hanging="360"/>
      </w:pPr>
      <w:rPr>
        <w:rFonts w:ascii="Symbol" w:hAnsi="Symbol" w:hint="default"/>
      </w:rPr>
    </w:lvl>
    <w:lvl w:ilvl="7" w:tplc="0E0892C4" w:tentative="1">
      <w:start w:val="1"/>
      <w:numFmt w:val="bullet"/>
      <w:lvlText w:val="o"/>
      <w:lvlJc w:val="left"/>
      <w:pPr>
        <w:ind w:left="5760" w:hanging="360"/>
      </w:pPr>
      <w:rPr>
        <w:rFonts w:ascii="Courier New" w:hAnsi="Courier New" w:cs="Courier New" w:hint="default"/>
      </w:rPr>
    </w:lvl>
    <w:lvl w:ilvl="8" w:tplc="EA4E78EC" w:tentative="1">
      <w:start w:val="1"/>
      <w:numFmt w:val="bullet"/>
      <w:lvlText w:val=""/>
      <w:lvlJc w:val="left"/>
      <w:pPr>
        <w:ind w:left="6480" w:hanging="360"/>
      </w:pPr>
      <w:rPr>
        <w:rFonts w:ascii="Wingdings" w:hAnsi="Wingdings" w:hint="default"/>
      </w:rPr>
    </w:lvl>
  </w:abstractNum>
  <w:abstractNum w:abstractNumId="21" w15:restartNumberingAfterBreak="0">
    <w:nsid w:val="5C864F33"/>
    <w:multiLevelType w:val="hybridMultilevel"/>
    <w:tmpl w:val="596033B8"/>
    <w:lvl w:ilvl="0" w:tplc="08070001">
      <w:start w:val="1"/>
      <w:numFmt w:val="bullet"/>
      <w:lvlText w:val=""/>
      <w:lvlJc w:val="left"/>
      <w:pPr>
        <w:ind w:left="680" w:hanging="340"/>
      </w:pPr>
      <w:rPr>
        <w:rFonts w:ascii="Symbol" w:hAnsi="Symbol" w:hint="default"/>
      </w:rPr>
    </w:lvl>
    <w:lvl w:ilvl="1" w:tplc="8D9634C0">
      <w:start w:val="1"/>
      <w:numFmt w:val="bullet"/>
      <w:lvlText w:val="o"/>
      <w:lvlJc w:val="left"/>
      <w:pPr>
        <w:ind w:left="1247" w:hanging="340"/>
      </w:pPr>
      <w:rPr>
        <w:rFonts w:ascii="Courier New" w:hAnsi="Courier New" w:hint="default"/>
      </w:rPr>
    </w:lvl>
    <w:lvl w:ilvl="2" w:tplc="247CFB72">
      <w:start w:val="1"/>
      <w:numFmt w:val="bullet"/>
      <w:lvlText w:val=""/>
      <w:lvlJc w:val="left"/>
      <w:pPr>
        <w:ind w:left="2500" w:hanging="360"/>
      </w:pPr>
      <w:rPr>
        <w:rFonts w:ascii="Wingdings" w:hAnsi="Wingdings" w:hint="default"/>
      </w:rPr>
    </w:lvl>
    <w:lvl w:ilvl="3" w:tplc="F5D21B7A" w:tentative="1">
      <w:start w:val="1"/>
      <w:numFmt w:val="bullet"/>
      <w:lvlText w:val=""/>
      <w:lvlJc w:val="left"/>
      <w:pPr>
        <w:ind w:left="3220" w:hanging="360"/>
      </w:pPr>
      <w:rPr>
        <w:rFonts w:ascii="Symbol" w:hAnsi="Symbol" w:hint="default"/>
      </w:rPr>
    </w:lvl>
    <w:lvl w:ilvl="4" w:tplc="9DC8A3F0" w:tentative="1">
      <w:start w:val="1"/>
      <w:numFmt w:val="bullet"/>
      <w:lvlText w:val="o"/>
      <w:lvlJc w:val="left"/>
      <w:pPr>
        <w:ind w:left="3940" w:hanging="360"/>
      </w:pPr>
      <w:rPr>
        <w:rFonts w:ascii="Courier New" w:hAnsi="Courier New" w:cs="Courier New" w:hint="default"/>
      </w:rPr>
    </w:lvl>
    <w:lvl w:ilvl="5" w:tplc="A4D63644" w:tentative="1">
      <w:start w:val="1"/>
      <w:numFmt w:val="bullet"/>
      <w:lvlText w:val=""/>
      <w:lvlJc w:val="left"/>
      <w:pPr>
        <w:ind w:left="4660" w:hanging="360"/>
      </w:pPr>
      <w:rPr>
        <w:rFonts w:ascii="Wingdings" w:hAnsi="Wingdings" w:hint="default"/>
      </w:rPr>
    </w:lvl>
    <w:lvl w:ilvl="6" w:tplc="23E8F3FE" w:tentative="1">
      <w:start w:val="1"/>
      <w:numFmt w:val="bullet"/>
      <w:lvlText w:val=""/>
      <w:lvlJc w:val="left"/>
      <w:pPr>
        <w:ind w:left="5380" w:hanging="360"/>
      </w:pPr>
      <w:rPr>
        <w:rFonts w:ascii="Symbol" w:hAnsi="Symbol" w:hint="default"/>
      </w:rPr>
    </w:lvl>
    <w:lvl w:ilvl="7" w:tplc="0E0892C4" w:tentative="1">
      <w:start w:val="1"/>
      <w:numFmt w:val="bullet"/>
      <w:lvlText w:val="o"/>
      <w:lvlJc w:val="left"/>
      <w:pPr>
        <w:ind w:left="6100" w:hanging="360"/>
      </w:pPr>
      <w:rPr>
        <w:rFonts w:ascii="Courier New" w:hAnsi="Courier New" w:cs="Courier New" w:hint="default"/>
      </w:rPr>
    </w:lvl>
    <w:lvl w:ilvl="8" w:tplc="EA4E78EC" w:tentative="1">
      <w:start w:val="1"/>
      <w:numFmt w:val="bullet"/>
      <w:lvlText w:val=""/>
      <w:lvlJc w:val="left"/>
      <w:pPr>
        <w:ind w:left="6820" w:hanging="360"/>
      </w:pPr>
      <w:rPr>
        <w:rFonts w:ascii="Wingdings" w:hAnsi="Wingdings" w:hint="default"/>
      </w:rPr>
    </w:lvl>
  </w:abstractNum>
  <w:abstractNum w:abstractNumId="22" w15:restartNumberingAfterBreak="0">
    <w:nsid w:val="5C991FF7"/>
    <w:multiLevelType w:val="hybridMultilevel"/>
    <w:tmpl w:val="22266022"/>
    <w:lvl w:ilvl="0" w:tplc="95DA622C">
      <w:start w:val="1"/>
      <w:numFmt w:val="bullet"/>
      <w:pStyle w:val="AuflistungmitHaken"/>
      <w:lvlText w:val=""/>
      <w:lvlJc w:val="left"/>
      <w:pPr>
        <w:ind w:left="360" w:hanging="360"/>
      </w:pPr>
      <w:rPr>
        <w:rFonts w:ascii="Wingdings" w:hAnsi="Wingdings" w:hint="default"/>
      </w:rPr>
    </w:lvl>
    <w:lvl w:ilvl="1" w:tplc="8D9634C0" w:tentative="1">
      <w:start w:val="1"/>
      <w:numFmt w:val="bullet"/>
      <w:lvlText w:val="o"/>
      <w:lvlJc w:val="left"/>
      <w:pPr>
        <w:ind w:left="1080" w:hanging="360"/>
      </w:pPr>
      <w:rPr>
        <w:rFonts w:ascii="Courier New" w:hAnsi="Courier New" w:cs="Courier New" w:hint="default"/>
      </w:rPr>
    </w:lvl>
    <w:lvl w:ilvl="2" w:tplc="247CFB72" w:tentative="1">
      <w:start w:val="1"/>
      <w:numFmt w:val="bullet"/>
      <w:lvlText w:val=""/>
      <w:lvlJc w:val="left"/>
      <w:pPr>
        <w:ind w:left="1800" w:hanging="360"/>
      </w:pPr>
      <w:rPr>
        <w:rFonts w:ascii="Wingdings" w:hAnsi="Wingdings" w:hint="default"/>
      </w:rPr>
    </w:lvl>
    <w:lvl w:ilvl="3" w:tplc="F5D21B7A" w:tentative="1">
      <w:start w:val="1"/>
      <w:numFmt w:val="bullet"/>
      <w:lvlText w:val=""/>
      <w:lvlJc w:val="left"/>
      <w:pPr>
        <w:ind w:left="2520" w:hanging="360"/>
      </w:pPr>
      <w:rPr>
        <w:rFonts w:ascii="Symbol" w:hAnsi="Symbol" w:hint="default"/>
      </w:rPr>
    </w:lvl>
    <w:lvl w:ilvl="4" w:tplc="9DC8A3F0" w:tentative="1">
      <w:start w:val="1"/>
      <w:numFmt w:val="bullet"/>
      <w:lvlText w:val="o"/>
      <w:lvlJc w:val="left"/>
      <w:pPr>
        <w:ind w:left="3240" w:hanging="360"/>
      </w:pPr>
      <w:rPr>
        <w:rFonts w:ascii="Courier New" w:hAnsi="Courier New" w:cs="Courier New" w:hint="default"/>
      </w:rPr>
    </w:lvl>
    <w:lvl w:ilvl="5" w:tplc="A4D63644" w:tentative="1">
      <w:start w:val="1"/>
      <w:numFmt w:val="bullet"/>
      <w:lvlText w:val=""/>
      <w:lvlJc w:val="left"/>
      <w:pPr>
        <w:ind w:left="3960" w:hanging="360"/>
      </w:pPr>
      <w:rPr>
        <w:rFonts w:ascii="Wingdings" w:hAnsi="Wingdings" w:hint="default"/>
      </w:rPr>
    </w:lvl>
    <w:lvl w:ilvl="6" w:tplc="23E8F3FE" w:tentative="1">
      <w:start w:val="1"/>
      <w:numFmt w:val="bullet"/>
      <w:lvlText w:val=""/>
      <w:lvlJc w:val="left"/>
      <w:pPr>
        <w:ind w:left="4680" w:hanging="360"/>
      </w:pPr>
      <w:rPr>
        <w:rFonts w:ascii="Symbol" w:hAnsi="Symbol" w:hint="default"/>
      </w:rPr>
    </w:lvl>
    <w:lvl w:ilvl="7" w:tplc="0E0892C4" w:tentative="1">
      <w:start w:val="1"/>
      <w:numFmt w:val="bullet"/>
      <w:lvlText w:val="o"/>
      <w:lvlJc w:val="left"/>
      <w:pPr>
        <w:ind w:left="5400" w:hanging="360"/>
      </w:pPr>
      <w:rPr>
        <w:rFonts w:ascii="Courier New" w:hAnsi="Courier New" w:cs="Courier New" w:hint="default"/>
      </w:rPr>
    </w:lvl>
    <w:lvl w:ilvl="8" w:tplc="EA4E78EC" w:tentative="1">
      <w:start w:val="1"/>
      <w:numFmt w:val="bullet"/>
      <w:lvlText w:val=""/>
      <w:lvlJc w:val="left"/>
      <w:pPr>
        <w:ind w:left="6120" w:hanging="360"/>
      </w:pPr>
      <w:rPr>
        <w:rFonts w:ascii="Wingdings" w:hAnsi="Wingdings" w:hint="default"/>
      </w:rPr>
    </w:lvl>
  </w:abstractNum>
  <w:abstractNum w:abstractNumId="23" w15:restartNumberingAfterBreak="0">
    <w:nsid w:val="5F0514E0"/>
    <w:multiLevelType w:val="hybridMultilevel"/>
    <w:tmpl w:val="5052F174"/>
    <w:lvl w:ilvl="0" w:tplc="95DA622C">
      <w:start w:val="1"/>
      <w:numFmt w:val="decimal"/>
      <w:lvlText w:val="%1."/>
      <w:lvlJc w:val="left"/>
      <w:pPr>
        <w:ind w:left="720" w:hanging="360"/>
      </w:pPr>
      <w:rPr>
        <w:rFonts w:hint="default"/>
      </w:rPr>
    </w:lvl>
    <w:lvl w:ilvl="1" w:tplc="8D9634C0" w:tentative="1">
      <w:start w:val="1"/>
      <w:numFmt w:val="lowerLetter"/>
      <w:lvlText w:val="%2."/>
      <w:lvlJc w:val="left"/>
      <w:pPr>
        <w:ind w:left="1440" w:hanging="360"/>
      </w:pPr>
    </w:lvl>
    <w:lvl w:ilvl="2" w:tplc="247CFB72" w:tentative="1">
      <w:start w:val="1"/>
      <w:numFmt w:val="lowerRoman"/>
      <w:lvlText w:val="%3."/>
      <w:lvlJc w:val="right"/>
      <w:pPr>
        <w:ind w:left="2160" w:hanging="180"/>
      </w:pPr>
    </w:lvl>
    <w:lvl w:ilvl="3" w:tplc="F5D21B7A" w:tentative="1">
      <w:start w:val="1"/>
      <w:numFmt w:val="decimal"/>
      <w:lvlText w:val="%4."/>
      <w:lvlJc w:val="left"/>
      <w:pPr>
        <w:ind w:left="2880" w:hanging="360"/>
      </w:pPr>
    </w:lvl>
    <w:lvl w:ilvl="4" w:tplc="9DC8A3F0" w:tentative="1">
      <w:start w:val="1"/>
      <w:numFmt w:val="lowerLetter"/>
      <w:lvlText w:val="%5."/>
      <w:lvlJc w:val="left"/>
      <w:pPr>
        <w:ind w:left="3600" w:hanging="360"/>
      </w:pPr>
    </w:lvl>
    <w:lvl w:ilvl="5" w:tplc="A4D63644" w:tentative="1">
      <w:start w:val="1"/>
      <w:numFmt w:val="lowerRoman"/>
      <w:lvlText w:val="%6."/>
      <w:lvlJc w:val="right"/>
      <w:pPr>
        <w:ind w:left="4320" w:hanging="180"/>
      </w:pPr>
    </w:lvl>
    <w:lvl w:ilvl="6" w:tplc="23E8F3FE" w:tentative="1">
      <w:start w:val="1"/>
      <w:numFmt w:val="decimal"/>
      <w:lvlText w:val="%7."/>
      <w:lvlJc w:val="left"/>
      <w:pPr>
        <w:ind w:left="5040" w:hanging="360"/>
      </w:pPr>
    </w:lvl>
    <w:lvl w:ilvl="7" w:tplc="0E0892C4" w:tentative="1">
      <w:start w:val="1"/>
      <w:numFmt w:val="lowerLetter"/>
      <w:lvlText w:val="%8."/>
      <w:lvlJc w:val="left"/>
      <w:pPr>
        <w:ind w:left="5760" w:hanging="360"/>
      </w:pPr>
    </w:lvl>
    <w:lvl w:ilvl="8" w:tplc="EA4E78EC" w:tentative="1">
      <w:start w:val="1"/>
      <w:numFmt w:val="lowerRoman"/>
      <w:lvlText w:val="%9."/>
      <w:lvlJc w:val="right"/>
      <w:pPr>
        <w:ind w:left="6480" w:hanging="180"/>
      </w:pPr>
    </w:lvl>
  </w:abstractNum>
  <w:abstractNum w:abstractNumId="24" w15:restartNumberingAfterBreak="0">
    <w:nsid w:val="5F5A4B1E"/>
    <w:multiLevelType w:val="hybridMultilevel"/>
    <w:tmpl w:val="FB00BFDE"/>
    <w:lvl w:ilvl="0" w:tplc="4AFE7530">
      <w:start w:val="1"/>
      <w:numFmt w:val="bullet"/>
      <w:lvlText w:val=""/>
      <w:lvlJc w:val="left"/>
      <w:pPr>
        <w:ind w:left="680" w:hanging="340"/>
      </w:pPr>
      <w:rPr>
        <w:rFonts w:ascii="Wingdings" w:hAnsi="Wingdings" w:hint="default"/>
      </w:rPr>
    </w:lvl>
    <w:lvl w:ilvl="1" w:tplc="08070001">
      <w:start w:val="1"/>
      <w:numFmt w:val="bullet"/>
      <w:lvlText w:val=""/>
      <w:lvlJc w:val="left"/>
      <w:pPr>
        <w:ind w:left="1247" w:hanging="340"/>
      </w:pPr>
      <w:rPr>
        <w:rFonts w:ascii="Symbol" w:hAnsi="Symbol" w:hint="default"/>
      </w:rPr>
    </w:lvl>
    <w:lvl w:ilvl="2" w:tplc="247CFB72">
      <w:start w:val="1"/>
      <w:numFmt w:val="bullet"/>
      <w:lvlText w:val=""/>
      <w:lvlJc w:val="left"/>
      <w:pPr>
        <w:ind w:left="2500" w:hanging="360"/>
      </w:pPr>
      <w:rPr>
        <w:rFonts w:ascii="Wingdings" w:hAnsi="Wingdings" w:hint="default"/>
      </w:rPr>
    </w:lvl>
    <w:lvl w:ilvl="3" w:tplc="F5D21B7A" w:tentative="1">
      <w:start w:val="1"/>
      <w:numFmt w:val="bullet"/>
      <w:lvlText w:val=""/>
      <w:lvlJc w:val="left"/>
      <w:pPr>
        <w:ind w:left="3220" w:hanging="360"/>
      </w:pPr>
      <w:rPr>
        <w:rFonts w:ascii="Symbol" w:hAnsi="Symbol" w:hint="default"/>
      </w:rPr>
    </w:lvl>
    <w:lvl w:ilvl="4" w:tplc="9DC8A3F0" w:tentative="1">
      <w:start w:val="1"/>
      <w:numFmt w:val="bullet"/>
      <w:lvlText w:val="o"/>
      <w:lvlJc w:val="left"/>
      <w:pPr>
        <w:ind w:left="3940" w:hanging="360"/>
      </w:pPr>
      <w:rPr>
        <w:rFonts w:ascii="Courier New" w:hAnsi="Courier New" w:cs="Courier New" w:hint="default"/>
      </w:rPr>
    </w:lvl>
    <w:lvl w:ilvl="5" w:tplc="A4D63644" w:tentative="1">
      <w:start w:val="1"/>
      <w:numFmt w:val="bullet"/>
      <w:lvlText w:val=""/>
      <w:lvlJc w:val="left"/>
      <w:pPr>
        <w:ind w:left="4660" w:hanging="360"/>
      </w:pPr>
      <w:rPr>
        <w:rFonts w:ascii="Wingdings" w:hAnsi="Wingdings" w:hint="default"/>
      </w:rPr>
    </w:lvl>
    <w:lvl w:ilvl="6" w:tplc="23E8F3FE" w:tentative="1">
      <w:start w:val="1"/>
      <w:numFmt w:val="bullet"/>
      <w:lvlText w:val=""/>
      <w:lvlJc w:val="left"/>
      <w:pPr>
        <w:ind w:left="5380" w:hanging="360"/>
      </w:pPr>
      <w:rPr>
        <w:rFonts w:ascii="Symbol" w:hAnsi="Symbol" w:hint="default"/>
      </w:rPr>
    </w:lvl>
    <w:lvl w:ilvl="7" w:tplc="0E0892C4" w:tentative="1">
      <w:start w:val="1"/>
      <w:numFmt w:val="bullet"/>
      <w:lvlText w:val="o"/>
      <w:lvlJc w:val="left"/>
      <w:pPr>
        <w:ind w:left="6100" w:hanging="360"/>
      </w:pPr>
      <w:rPr>
        <w:rFonts w:ascii="Courier New" w:hAnsi="Courier New" w:cs="Courier New" w:hint="default"/>
      </w:rPr>
    </w:lvl>
    <w:lvl w:ilvl="8" w:tplc="EA4E78EC" w:tentative="1">
      <w:start w:val="1"/>
      <w:numFmt w:val="bullet"/>
      <w:lvlText w:val=""/>
      <w:lvlJc w:val="left"/>
      <w:pPr>
        <w:ind w:left="6820" w:hanging="360"/>
      </w:pPr>
      <w:rPr>
        <w:rFonts w:ascii="Wingdings" w:hAnsi="Wingdings" w:hint="default"/>
      </w:rPr>
    </w:lvl>
  </w:abstractNum>
  <w:abstractNum w:abstractNumId="25" w15:restartNumberingAfterBreak="0">
    <w:nsid w:val="65413583"/>
    <w:multiLevelType w:val="hybridMultilevel"/>
    <w:tmpl w:val="6A860740"/>
    <w:lvl w:ilvl="0" w:tplc="7ECA9EAA">
      <w:numFmt w:val="bullet"/>
      <w:lvlText w:val="-"/>
      <w:lvlJc w:val="left"/>
      <w:pPr>
        <w:ind w:left="303" w:hanging="360"/>
      </w:pPr>
      <w:rPr>
        <w:rFonts w:ascii="Arial" w:eastAsia="Arial" w:hAnsi="Arial" w:cs="Arial" w:hint="default"/>
      </w:rPr>
    </w:lvl>
    <w:lvl w:ilvl="1" w:tplc="08070003" w:tentative="1">
      <w:start w:val="1"/>
      <w:numFmt w:val="bullet"/>
      <w:lvlText w:val="o"/>
      <w:lvlJc w:val="left"/>
      <w:pPr>
        <w:ind w:left="1023" w:hanging="360"/>
      </w:pPr>
      <w:rPr>
        <w:rFonts w:ascii="Courier New" w:hAnsi="Courier New" w:cs="Courier New" w:hint="default"/>
      </w:rPr>
    </w:lvl>
    <w:lvl w:ilvl="2" w:tplc="08070005" w:tentative="1">
      <w:start w:val="1"/>
      <w:numFmt w:val="bullet"/>
      <w:lvlText w:val=""/>
      <w:lvlJc w:val="left"/>
      <w:pPr>
        <w:ind w:left="1743" w:hanging="360"/>
      </w:pPr>
      <w:rPr>
        <w:rFonts w:ascii="Wingdings" w:hAnsi="Wingdings" w:hint="default"/>
      </w:rPr>
    </w:lvl>
    <w:lvl w:ilvl="3" w:tplc="08070001" w:tentative="1">
      <w:start w:val="1"/>
      <w:numFmt w:val="bullet"/>
      <w:lvlText w:val=""/>
      <w:lvlJc w:val="left"/>
      <w:pPr>
        <w:ind w:left="2463" w:hanging="360"/>
      </w:pPr>
      <w:rPr>
        <w:rFonts w:ascii="Symbol" w:hAnsi="Symbol" w:hint="default"/>
      </w:rPr>
    </w:lvl>
    <w:lvl w:ilvl="4" w:tplc="08070003" w:tentative="1">
      <w:start w:val="1"/>
      <w:numFmt w:val="bullet"/>
      <w:lvlText w:val="o"/>
      <w:lvlJc w:val="left"/>
      <w:pPr>
        <w:ind w:left="3183" w:hanging="360"/>
      </w:pPr>
      <w:rPr>
        <w:rFonts w:ascii="Courier New" w:hAnsi="Courier New" w:cs="Courier New" w:hint="default"/>
      </w:rPr>
    </w:lvl>
    <w:lvl w:ilvl="5" w:tplc="08070005" w:tentative="1">
      <w:start w:val="1"/>
      <w:numFmt w:val="bullet"/>
      <w:lvlText w:val=""/>
      <w:lvlJc w:val="left"/>
      <w:pPr>
        <w:ind w:left="3903" w:hanging="360"/>
      </w:pPr>
      <w:rPr>
        <w:rFonts w:ascii="Wingdings" w:hAnsi="Wingdings" w:hint="default"/>
      </w:rPr>
    </w:lvl>
    <w:lvl w:ilvl="6" w:tplc="08070001" w:tentative="1">
      <w:start w:val="1"/>
      <w:numFmt w:val="bullet"/>
      <w:lvlText w:val=""/>
      <w:lvlJc w:val="left"/>
      <w:pPr>
        <w:ind w:left="4623" w:hanging="360"/>
      </w:pPr>
      <w:rPr>
        <w:rFonts w:ascii="Symbol" w:hAnsi="Symbol" w:hint="default"/>
      </w:rPr>
    </w:lvl>
    <w:lvl w:ilvl="7" w:tplc="08070003" w:tentative="1">
      <w:start w:val="1"/>
      <w:numFmt w:val="bullet"/>
      <w:lvlText w:val="o"/>
      <w:lvlJc w:val="left"/>
      <w:pPr>
        <w:ind w:left="5343" w:hanging="360"/>
      </w:pPr>
      <w:rPr>
        <w:rFonts w:ascii="Courier New" w:hAnsi="Courier New" w:cs="Courier New" w:hint="default"/>
      </w:rPr>
    </w:lvl>
    <w:lvl w:ilvl="8" w:tplc="08070005" w:tentative="1">
      <w:start w:val="1"/>
      <w:numFmt w:val="bullet"/>
      <w:lvlText w:val=""/>
      <w:lvlJc w:val="left"/>
      <w:pPr>
        <w:ind w:left="6063" w:hanging="360"/>
      </w:pPr>
      <w:rPr>
        <w:rFonts w:ascii="Wingdings" w:hAnsi="Wingdings" w:hint="default"/>
      </w:rPr>
    </w:lvl>
  </w:abstractNum>
  <w:abstractNum w:abstractNumId="26" w15:restartNumberingAfterBreak="0">
    <w:nsid w:val="6B3764A8"/>
    <w:multiLevelType w:val="hybridMultilevel"/>
    <w:tmpl w:val="60C60AD0"/>
    <w:lvl w:ilvl="0" w:tplc="0807000F">
      <w:start w:val="1"/>
      <w:numFmt w:val="decimal"/>
      <w:pStyle w:val="NummerierteAufzhlung"/>
      <w:lvlText w:val="%1."/>
      <w:lvlJc w:val="left"/>
      <w:pPr>
        <w:ind w:left="340" w:hanging="34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0094CCD"/>
    <w:multiLevelType w:val="hybridMultilevel"/>
    <w:tmpl w:val="37C043CA"/>
    <w:lvl w:ilvl="0" w:tplc="8D9634C0">
      <w:start w:val="1"/>
      <w:numFmt w:val="bullet"/>
      <w:lvlText w:val="o"/>
      <w:lvlJc w:val="left"/>
      <w:pPr>
        <w:ind w:left="1060" w:hanging="360"/>
      </w:pPr>
      <w:rPr>
        <w:rFonts w:ascii="Courier New" w:hAnsi="Courier New" w:cs="Courier New" w:hint="default"/>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28" w15:restartNumberingAfterBreak="0">
    <w:nsid w:val="761D178F"/>
    <w:multiLevelType w:val="hybridMultilevel"/>
    <w:tmpl w:val="F93029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8617A1F"/>
    <w:multiLevelType w:val="hybridMultilevel"/>
    <w:tmpl w:val="86B433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F326723"/>
    <w:multiLevelType w:val="multilevel"/>
    <w:tmpl w:val="546E9862"/>
    <w:lvl w:ilvl="0">
      <w:start w:val="1"/>
      <w:numFmt w:val="bullet"/>
      <w:pStyle w:val="ListWithSymbols"/>
      <w:lvlText w:val="-"/>
      <w:lvlJc w:val="left"/>
      <w:pPr>
        <w:tabs>
          <w:tab w:val="num" w:pos="680"/>
        </w:tabs>
        <w:ind w:left="964" w:hanging="284"/>
      </w:pPr>
      <w:rPr>
        <w:rFonts w:ascii="Arial" w:hAnsi="Arial" w:hint="default"/>
      </w:rPr>
    </w:lvl>
    <w:lvl w:ilvl="1">
      <w:start w:val="1"/>
      <w:numFmt w:val="bullet"/>
      <w:lvlRestart w:val="0"/>
      <w:lvlText w:val="-"/>
      <w:lvlJc w:val="left"/>
      <w:pPr>
        <w:tabs>
          <w:tab w:val="num" w:pos="964"/>
        </w:tabs>
        <w:ind w:left="1247" w:hanging="283"/>
      </w:pPr>
      <w:rPr>
        <w:rFonts w:ascii="Arial" w:hAnsi="Arial" w:hint="default"/>
      </w:rPr>
    </w:lvl>
    <w:lvl w:ilvl="2">
      <w:start w:val="1"/>
      <w:numFmt w:val="bullet"/>
      <w:lvlRestart w:val="0"/>
      <w:lvlText w:val="-"/>
      <w:lvlJc w:val="left"/>
      <w:pPr>
        <w:tabs>
          <w:tab w:val="num" w:pos="1247"/>
        </w:tabs>
        <w:ind w:left="1531" w:hanging="284"/>
      </w:pPr>
      <w:rPr>
        <w:rFonts w:ascii="Arial" w:hAnsi="Arial" w:hint="default"/>
      </w:rPr>
    </w:lvl>
    <w:lvl w:ilvl="3">
      <w:start w:val="1"/>
      <w:numFmt w:val="bullet"/>
      <w:lvlRestart w:val="0"/>
      <w:lvlText w:val="-"/>
      <w:lvlJc w:val="left"/>
      <w:pPr>
        <w:tabs>
          <w:tab w:val="num" w:pos="1531"/>
        </w:tabs>
        <w:ind w:left="1814" w:hanging="283"/>
      </w:pPr>
      <w:rPr>
        <w:rFonts w:ascii="Arial" w:hAnsi="Arial" w:hint="default"/>
      </w:rPr>
    </w:lvl>
    <w:lvl w:ilvl="4">
      <w:start w:val="1"/>
      <w:numFmt w:val="bullet"/>
      <w:lvlRestart w:val="0"/>
      <w:lvlText w:val="-"/>
      <w:lvlJc w:val="left"/>
      <w:pPr>
        <w:tabs>
          <w:tab w:val="num" w:pos="18144"/>
        </w:tabs>
        <w:ind w:left="2098" w:hanging="284"/>
      </w:pPr>
      <w:rPr>
        <w:rFonts w:ascii="Arial" w:hAnsi="Arial" w:hint="default"/>
      </w:rPr>
    </w:lvl>
    <w:lvl w:ilvl="5">
      <w:start w:val="1"/>
      <w:numFmt w:val="bullet"/>
      <w:lvlText w:val="-"/>
      <w:lvlJc w:val="left"/>
      <w:pPr>
        <w:tabs>
          <w:tab w:val="num" w:pos="2098"/>
        </w:tabs>
        <w:ind w:left="2381" w:hanging="283"/>
      </w:pPr>
      <w:rPr>
        <w:rFonts w:ascii="Arial" w:hAnsi="Arial" w:hint="default"/>
      </w:rPr>
    </w:lvl>
    <w:lvl w:ilvl="6">
      <w:start w:val="1"/>
      <w:numFmt w:val="bullet"/>
      <w:lvlText w:val="-"/>
      <w:lvlJc w:val="left"/>
      <w:pPr>
        <w:tabs>
          <w:tab w:val="num" w:pos="2381"/>
        </w:tabs>
        <w:ind w:left="2665" w:hanging="284"/>
      </w:pPr>
      <w:rPr>
        <w:rFonts w:ascii="Arial" w:hAnsi="Arial" w:hint="default"/>
      </w:rPr>
    </w:lvl>
    <w:lvl w:ilvl="7">
      <w:start w:val="1"/>
      <w:numFmt w:val="bullet"/>
      <w:lvlText w:val="-"/>
      <w:lvlJc w:val="left"/>
      <w:pPr>
        <w:tabs>
          <w:tab w:val="num" w:pos="2665"/>
        </w:tabs>
        <w:ind w:left="2948" w:hanging="283"/>
      </w:pPr>
      <w:rPr>
        <w:rFonts w:ascii="Arial" w:hAnsi="Arial" w:hint="default"/>
      </w:rPr>
    </w:lvl>
    <w:lvl w:ilvl="8">
      <w:start w:val="1"/>
      <w:numFmt w:val="bullet"/>
      <w:lvlText w:val="-"/>
      <w:lvlJc w:val="left"/>
      <w:pPr>
        <w:tabs>
          <w:tab w:val="num" w:pos="2948"/>
        </w:tabs>
        <w:ind w:left="3232" w:hanging="284"/>
      </w:pPr>
      <w:rPr>
        <w:rFonts w:ascii="Arial" w:hAnsi="Arial" w:hint="default"/>
      </w:rPr>
    </w:lvl>
  </w:abstractNum>
  <w:num w:numId="1">
    <w:abstractNumId w:val="3"/>
  </w:num>
  <w:num w:numId="2">
    <w:abstractNumId w:val="1"/>
  </w:num>
  <w:num w:numId="3">
    <w:abstractNumId w:val="0"/>
  </w:num>
  <w:num w:numId="4">
    <w:abstractNumId w:val="26"/>
  </w:num>
  <w:num w:numId="5">
    <w:abstractNumId w:val="26"/>
  </w:num>
  <w:num w:numId="6">
    <w:abstractNumId w:val="26"/>
    <w:lvlOverride w:ilvl="0">
      <w:startOverride w:val="1"/>
    </w:lvlOverride>
  </w:num>
  <w:num w:numId="7">
    <w:abstractNumId w:val="20"/>
  </w:num>
  <w:num w:numId="8">
    <w:abstractNumId w:val="22"/>
  </w:num>
  <w:num w:numId="9">
    <w:abstractNumId w:val="12"/>
  </w:num>
  <w:num w:numId="10">
    <w:abstractNumId w:val="9"/>
  </w:num>
  <w:num w:numId="11">
    <w:abstractNumId w:val="30"/>
  </w:num>
  <w:num w:numId="12">
    <w:abstractNumId w:val="16"/>
  </w:num>
  <w:num w:numId="13">
    <w:abstractNumId w:val="17"/>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8"/>
  </w:num>
  <w:num w:numId="19">
    <w:abstractNumId w:val="23"/>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7"/>
  </w:num>
  <w:num w:numId="25">
    <w:abstractNumId w:val="5"/>
  </w:num>
  <w:num w:numId="26">
    <w:abstractNumId w:val="25"/>
  </w:num>
  <w:num w:numId="27">
    <w:abstractNumId w:val="11"/>
  </w:num>
  <w:num w:numId="28">
    <w:abstractNumId w:val="13"/>
  </w:num>
  <w:num w:numId="29">
    <w:abstractNumId w:val="19"/>
  </w:num>
  <w:num w:numId="30">
    <w:abstractNumId w:val="6"/>
  </w:num>
  <w:num w:numId="31">
    <w:abstractNumId w:val="29"/>
  </w:num>
  <w:num w:numId="32">
    <w:abstractNumId w:val="4"/>
  </w:num>
  <w:num w:numId="33">
    <w:abstractNumId w:val="21"/>
  </w:num>
  <w:num w:numId="34">
    <w:abstractNumId w:val="14"/>
  </w:num>
  <w:num w:numId="35">
    <w:abstractNumId w:val="24"/>
  </w:num>
  <w:num w:numId="36">
    <w:abstractNumId w:val="2"/>
  </w:num>
  <w:num w:numId="37">
    <w:abstractNumId w:val="28"/>
  </w:num>
  <w:num w:numId="38">
    <w:abstractNumId w:val="10"/>
  </w:num>
  <w:num w:numId="39">
    <w:abstractNumId w:val="7"/>
  </w:num>
  <w:num w:numId="40">
    <w:abstractNumId w:val="15"/>
  </w:num>
  <w:num w:numId="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709"/>
  <w:autoHyphenation/>
  <w:hyphenationZone w:val="425"/>
  <w:evenAndOddHeaders/>
  <w:drawingGridHorizontalSpacing w:val="110"/>
  <w:displayHorizont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E0"/>
    <w:rsid w:val="00000439"/>
    <w:rsid w:val="00002DFE"/>
    <w:rsid w:val="00003582"/>
    <w:rsid w:val="000072BD"/>
    <w:rsid w:val="000073BF"/>
    <w:rsid w:val="00007C2B"/>
    <w:rsid w:val="0001074D"/>
    <w:rsid w:val="00011512"/>
    <w:rsid w:val="000136F8"/>
    <w:rsid w:val="0001456C"/>
    <w:rsid w:val="000178A4"/>
    <w:rsid w:val="0002092E"/>
    <w:rsid w:val="000211C4"/>
    <w:rsid w:val="000241B1"/>
    <w:rsid w:val="00024370"/>
    <w:rsid w:val="00024438"/>
    <w:rsid w:val="00024DC2"/>
    <w:rsid w:val="0003108C"/>
    <w:rsid w:val="000316DD"/>
    <w:rsid w:val="00031AD1"/>
    <w:rsid w:val="00031E1F"/>
    <w:rsid w:val="00034D81"/>
    <w:rsid w:val="00042A10"/>
    <w:rsid w:val="00043B08"/>
    <w:rsid w:val="00046E58"/>
    <w:rsid w:val="00057B4C"/>
    <w:rsid w:val="00061B45"/>
    <w:rsid w:val="0006214D"/>
    <w:rsid w:val="00062AFA"/>
    <w:rsid w:val="00062E76"/>
    <w:rsid w:val="00064561"/>
    <w:rsid w:val="000671AD"/>
    <w:rsid w:val="00071311"/>
    <w:rsid w:val="0007304D"/>
    <w:rsid w:val="00075949"/>
    <w:rsid w:val="0007628C"/>
    <w:rsid w:val="00077D05"/>
    <w:rsid w:val="00080F63"/>
    <w:rsid w:val="000830D8"/>
    <w:rsid w:val="00084D68"/>
    <w:rsid w:val="000865FA"/>
    <w:rsid w:val="00090864"/>
    <w:rsid w:val="00097A1D"/>
    <w:rsid w:val="000A2437"/>
    <w:rsid w:val="000A27F9"/>
    <w:rsid w:val="000A2C0C"/>
    <w:rsid w:val="000A3DEB"/>
    <w:rsid w:val="000A54CE"/>
    <w:rsid w:val="000A55E3"/>
    <w:rsid w:val="000B1AE3"/>
    <w:rsid w:val="000B2687"/>
    <w:rsid w:val="000B347C"/>
    <w:rsid w:val="000B3A40"/>
    <w:rsid w:val="000C3F58"/>
    <w:rsid w:val="000D0B76"/>
    <w:rsid w:val="000D1722"/>
    <w:rsid w:val="000D2D68"/>
    <w:rsid w:val="000D38DA"/>
    <w:rsid w:val="000D4B44"/>
    <w:rsid w:val="000D5F9F"/>
    <w:rsid w:val="000D7C50"/>
    <w:rsid w:val="000E042B"/>
    <w:rsid w:val="000E37E4"/>
    <w:rsid w:val="000E799A"/>
    <w:rsid w:val="000F0186"/>
    <w:rsid w:val="000F5DD6"/>
    <w:rsid w:val="00103B57"/>
    <w:rsid w:val="00106BDD"/>
    <w:rsid w:val="001132F8"/>
    <w:rsid w:val="0012409A"/>
    <w:rsid w:val="0012602D"/>
    <w:rsid w:val="00130CDD"/>
    <w:rsid w:val="001317AE"/>
    <w:rsid w:val="001341F5"/>
    <w:rsid w:val="00136BDA"/>
    <w:rsid w:val="0013734A"/>
    <w:rsid w:val="001376FF"/>
    <w:rsid w:val="0014381F"/>
    <w:rsid w:val="00147F4C"/>
    <w:rsid w:val="00147FBC"/>
    <w:rsid w:val="001504CB"/>
    <w:rsid w:val="0015095A"/>
    <w:rsid w:val="00151E0C"/>
    <w:rsid w:val="001554DF"/>
    <w:rsid w:val="00156BA8"/>
    <w:rsid w:val="0015713E"/>
    <w:rsid w:val="0015790A"/>
    <w:rsid w:val="00157A8E"/>
    <w:rsid w:val="001652FB"/>
    <w:rsid w:val="0016541E"/>
    <w:rsid w:val="00165EB4"/>
    <w:rsid w:val="00166974"/>
    <w:rsid w:val="00167435"/>
    <w:rsid w:val="00174AF5"/>
    <w:rsid w:val="00174F39"/>
    <w:rsid w:val="00175F0B"/>
    <w:rsid w:val="001764A2"/>
    <w:rsid w:val="00181622"/>
    <w:rsid w:val="00183C90"/>
    <w:rsid w:val="001851B5"/>
    <w:rsid w:val="00185DEC"/>
    <w:rsid w:val="00186AA0"/>
    <w:rsid w:val="00192629"/>
    <w:rsid w:val="00195153"/>
    <w:rsid w:val="001957E0"/>
    <w:rsid w:val="00197547"/>
    <w:rsid w:val="001A01D4"/>
    <w:rsid w:val="001A258A"/>
    <w:rsid w:val="001A2C3C"/>
    <w:rsid w:val="001A3D72"/>
    <w:rsid w:val="001A651A"/>
    <w:rsid w:val="001A7FD1"/>
    <w:rsid w:val="001B21C3"/>
    <w:rsid w:val="001B30AF"/>
    <w:rsid w:val="001B7D4E"/>
    <w:rsid w:val="001C21C3"/>
    <w:rsid w:val="001C32D0"/>
    <w:rsid w:val="001C3D10"/>
    <w:rsid w:val="001C45A2"/>
    <w:rsid w:val="001C720E"/>
    <w:rsid w:val="001D3359"/>
    <w:rsid w:val="001D377E"/>
    <w:rsid w:val="001D5F20"/>
    <w:rsid w:val="001D6E02"/>
    <w:rsid w:val="001D7E64"/>
    <w:rsid w:val="001E043B"/>
    <w:rsid w:val="001E1D2A"/>
    <w:rsid w:val="001E3C83"/>
    <w:rsid w:val="001E7C85"/>
    <w:rsid w:val="001F2ED2"/>
    <w:rsid w:val="001F6E01"/>
    <w:rsid w:val="00201ADC"/>
    <w:rsid w:val="00202EF5"/>
    <w:rsid w:val="00205230"/>
    <w:rsid w:val="0020643D"/>
    <w:rsid w:val="002075F1"/>
    <w:rsid w:val="00211BA1"/>
    <w:rsid w:val="00211BC9"/>
    <w:rsid w:val="00215D0E"/>
    <w:rsid w:val="0022645F"/>
    <w:rsid w:val="002268C0"/>
    <w:rsid w:val="002528DC"/>
    <w:rsid w:val="0025599E"/>
    <w:rsid w:val="00257D4B"/>
    <w:rsid w:val="00260229"/>
    <w:rsid w:val="00260523"/>
    <w:rsid w:val="00263EAB"/>
    <w:rsid w:val="002654D4"/>
    <w:rsid w:val="00266987"/>
    <w:rsid w:val="002671B4"/>
    <w:rsid w:val="00267D41"/>
    <w:rsid w:val="00272BA2"/>
    <w:rsid w:val="002754FD"/>
    <w:rsid w:val="002776D4"/>
    <w:rsid w:val="0028055B"/>
    <w:rsid w:val="00282100"/>
    <w:rsid w:val="002857E0"/>
    <w:rsid w:val="00285B16"/>
    <w:rsid w:val="002915A7"/>
    <w:rsid w:val="00293C0D"/>
    <w:rsid w:val="00293CAA"/>
    <w:rsid w:val="00294B2A"/>
    <w:rsid w:val="00295DBF"/>
    <w:rsid w:val="002A31B0"/>
    <w:rsid w:val="002A546C"/>
    <w:rsid w:val="002A5CD9"/>
    <w:rsid w:val="002B3CB6"/>
    <w:rsid w:val="002B5067"/>
    <w:rsid w:val="002B71C4"/>
    <w:rsid w:val="002C235C"/>
    <w:rsid w:val="002C357A"/>
    <w:rsid w:val="002C3800"/>
    <w:rsid w:val="002D0B39"/>
    <w:rsid w:val="002D142C"/>
    <w:rsid w:val="002D14A4"/>
    <w:rsid w:val="002D1694"/>
    <w:rsid w:val="002D2126"/>
    <w:rsid w:val="002D40CD"/>
    <w:rsid w:val="002D4197"/>
    <w:rsid w:val="002D6701"/>
    <w:rsid w:val="002D7AD3"/>
    <w:rsid w:val="002E02D4"/>
    <w:rsid w:val="002E0686"/>
    <w:rsid w:val="002E1E63"/>
    <w:rsid w:val="002E6122"/>
    <w:rsid w:val="002E6B06"/>
    <w:rsid w:val="002E7CC5"/>
    <w:rsid w:val="002E7ED0"/>
    <w:rsid w:val="002F008B"/>
    <w:rsid w:val="002F1569"/>
    <w:rsid w:val="002F2E2C"/>
    <w:rsid w:val="003002A1"/>
    <w:rsid w:val="00304F0B"/>
    <w:rsid w:val="003061A6"/>
    <w:rsid w:val="00306413"/>
    <w:rsid w:val="003064E4"/>
    <w:rsid w:val="00312984"/>
    <w:rsid w:val="00312B4F"/>
    <w:rsid w:val="003148BB"/>
    <w:rsid w:val="00315545"/>
    <w:rsid w:val="00315AD3"/>
    <w:rsid w:val="003204AB"/>
    <w:rsid w:val="0032099F"/>
    <w:rsid w:val="0032139F"/>
    <w:rsid w:val="00322220"/>
    <w:rsid w:val="00322ABA"/>
    <w:rsid w:val="00322BCA"/>
    <w:rsid w:val="00324F2B"/>
    <w:rsid w:val="003276F5"/>
    <w:rsid w:val="00331243"/>
    <w:rsid w:val="00332A6D"/>
    <w:rsid w:val="00332EC8"/>
    <w:rsid w:val="00333B80"/>
    <w:rsid w:val="00333EE9"/>
    <w:rsid w:val="00333EEE"/>
    <w:rsid w:val="00335EA6"/>
    <w:rsid w:val="0033733F"/>
    <w:rsid w:val="003411D6"/>
    <w:rsid w:val="00341903"/>
    <w:rsid w:val="00345064"/>
    <w:rsid w:val="00346334"/>
    <w:rsid w:val="0034675C"/>
    <w:rsid w:val="00355BE7"/>
    <w:rsid w:val="00360A9F"/>
    <w:rsid w:val="0036322A"/>
    <w:rsid w:val="0036363E"/>
    <w:rsid w:val="00366CBF"/>
    <w:rsid w:val="00367BA7"/>
    <w:rsid w:val="003714FF"/>
    <w:rsid w:val="0037371A"/>
    <w:rsid w:val="0038251B"/>
    <w:rsid w:val="00382C8E"/>
    <w:rsid w:val="00387AFB"/>
    <w:rsid w:val="00391702"/>
    <w:rsid w:val="00393F19"/>
    <w:rsid w:val="003954F5"/>
    <w:rsid w:val="00396055"/>
    <w:rsid w:val="003969E7"/>
    <w:rsid w:val="00396B89"/>
    <w:rsid w:val="003A5055"/>
    <w:rsid w:val="003A66BE"/>
    <w:rsid w:val="003A6910"/>
    <w:rsid w:val="003A792A"/>
    <w:rsid w:val="003B1660"/>
    <w:rsid w:val="003B2C7D"/>
    <w:rsid w:val="003B2F74"/>
    <w:rsid w:val="003B35BE"/>
    <w:rsid w:val="003B3930"/>
    <w:rsid w:val="003B4312"/>
    <w:rsid w:val="003B491C"/>
    <w:rsid w:val="003B4A7E"/>
    <w:rsid w:val="003B4B42"/>
    <w:rsid w:val="003B5592"/>
    <w:rsid w:val="003B6785"/>
    <w:rsid w:val="003B6D89"/>
    <w:rsid w:val="003C30B7"/>
    <w:rsid w:val="003C4252"/>
    <w:rsid w:val="003C5DD2"/>
    <w:rsid w:val="003C678F"/>
    <w:rsid w:val="003C7EA4"/>
    <w:rsid w:val="003D3BCC"/>
    <w:rsid w:val="003D5041"/>
    <w:rsid w:val="003D5282"/>
    <w:rsid w:val="003E42E0"/>
    <w:rsid w:val="003E5023"/>
    <w:rsid w:val="003E6200"/>
    <w:rsid w:val="003E7892"/>
    <w:rsid w:val="003F08AF"/>
    <w:rsid w:val="003F0A8E"/>
    <w:rsid w:val="003F2910"/>
    <w:rsid w:val="003F4682"/>
    <w:rsid w:val="003F5400"/>
    <w:rsid w:val="003F5C00"/>
    <w:rsid w:val="003F7C79"/>
    <w:rsid w:val="004002A3"/>
    <w:rsid w:val="004013B3"/>
    <w:rsid w:val="00401BD0"/>
    <w:rsid w:val="004024D3"/>
    <w:rsid w:val="00403D9A"/>
    <w:rsid w:val="00404EA5"/>
    <w:rsid w:val="00405A78"/>
    <w:rsid w:val="004060DB"/>
    <w:rsid w:val="004071FC"/>
    <w:rsid w:val="004137BA"/>
    <w:rsid w:val="00417985"/>
    <w:rsid w:val="00417F3E"/>
    <w:rsid w:val="00421CF0"/>
    <w:rsid w:val="00422C14"/>
    <w:rsid w:val="00423290"/>
    <w:rsid w:val="00425C14"/>
    <w:rsid w:val="004277B3"/>
    <w:rsid w:val="004302E0"/>
    <w:rsid w:val="00430873"/>
    <w:rsid w:val="0043091F"/>
    <w:rsid w:val="00432653"/>
    <w:rsid w:val="00433A08"/>
    <w:rsid w:val="00433EF9"/>
    <w:rsid w:val="0043533A"/>
    <w:rsid w:val="00436E07"/>
    <w:rsid w:val="00437373"/>
    <w:rsid w:val="0044267C"/>
    <w:rsid w:val="004435F9"/>
    <w:rsid w:val="00443631"/>
    <w:rsid w:val="004454FC"/>
    <w:rsid w:val="00450279"/>
    <w:rsid w:val="00453812"/>
    <w:rsid w:val="00456A7F"/>
    <w:rsid w:val="0045709B"/>
    <w:rsid w:val="00460396"/>
    <w:rsid w:val="004609B2"/>
    <w:rsid w:val="00463480"/>
    <w:rsid w:val="00465E01"/>
    <w:rsid w:val="00471EE0"/>
    <w:rsid w:val="00473356"/>
    <w:rsid w:val="00473EA6"/>
    <w:rsid w:val="004763C0"/>
    <w:rsid w:val="00477949"/>
    <w:rsid w:val="0048209F"/>
    <w:rsid w:val="00482293"/>
    <w:rsid w:val="00482EEA"/>
    <w:rsid w:val="0048444F"/>
    <w:rsid w:val="00486BB0"/>
    <w:rsid w:val="00490A9F"/>
    <w:rsid w:val="00493ED7"/>
    <w:rsid w:val="004948E0"/>
    <w:rsid w:val="00497BF1"/>
    <w:rsid w:val="004A0EBA"/>
    <w:rsid w:val="004B40C8"/>
    <w:rsid w:val="004B4981"/>
    <w:rsid w:val="004C1DBF"/>
    <w:rsid w:val="004C3893"/>
    <w:rsid w:val="004C464E"/>
    <w:rsid w:val="004D04E1"/>
    <w:rsid w:val="004D05D6"/>
    <w:rsid w:val="004D4AA8"/>
    <w:rsid w:val="004D63A7"/>
    <w:rsid w:val="004D65E4"/>
    <w:rsid w:val="004D6ACB"/>
    <w:rsid w:val="004D766F"/>
    <w:rsid w:val="004E05C9"/>
    <w:rsid w:val="004E2383"/>
    <w:rsid w:val="004E338D"/>
    <w:rsid w:val="004F13A3"/>
    <w:rsid w:val="004F1A25"/>
    <w:rsid w:val="004F2C57"/>
    <w:rsid w:val="004F31F6"/>
    <w:rsid w:val="004F41C6"/>
    <w:rsid w:val="004F4BDC"/>
    <w:rsid w:val="004F7FE6"/>
    <w:rsid w:val="00500AE7"/>
    <w:rsid w:val="00501164"/>
    <w:rsid w:val="005017CA"/>
    <w:rsid w:val="00505580"/>
    <w:rsid w:val="00507840"/>
    <w:rsid w:val="00507961"/>
    <w:rsid w:val="0051725E"/>
    <w:rsid w:val="005214E2"/>
    <w:rsid w:val="00521E17"/>
    <w:rsid w:val="00522759"/>
    <w:rsid w:val="00522EC1"/>
    <w:rsid w:val="00523F6A"/>
    <w:rsid w:val="00525669"/>
    <w:rsid w:val="0052597F"/>
    <w:rsid w:val="0052674D"/>
    <w:rsid w:val="005267C0"/>
    <w:rsid w:val="00532DCD"/>
    <w:rsid w:val="00533288"/>
    <w:rsid w:val="005339F8"/>
    <w:rsid w:val="00535791"/>
    <w:rsid w:val="00540E2A"/>
    <w:rsid w:val="005410C2"/>
    <w:rsid w:val="00543462"/>
    <w:rsid w:val="00544A0F"/>
    <w:rsid w:val="00550B6A"/>
    <w:rsid w:val="00554BB6"/>
    <w:rsid w:val="00555FFE"/>
    <w:rsid w:val="00556EB0"/>
    <w:rsid w:val="005571A9"/>
    <w:rsid w:val="00557456"/>
    <w:rsid w:val="00562FB2"/>
    <w:rsid w:val="00565A76"/>
    <w:rsid w:val="005706AD"/>
    <w:rsid w:val="00570C72"/>
    <w:rsid w:val="00573B08"/>
    <w:rsid w:val="00574A30"/>
    <w:rsid w:val="00574C39"/>
    <w:rsid w:val="00575A2D"/>
    <w:rsid w:val="00582F7B"/>
    <w:rsid w:val="00584FFB"/>
    <w:rsid w:val="0058515B"/>
    <w:rsid w:val="00585DB6"/>
    <w:rsid w:val="005904DE"/>
    <w:rsid w:val="00594164"/>
    <w:rsid w:val="00595461"/>
    <w:rsid w:val="00595B1E"/>
    <w:rsid w:val="005A082E"/>
    <w:rsid w:val="005A344D"/>
    <w:rsid w:val="005A4861"/>
    <w:rsid w:val="005A77D9"/>
    <w:rsid w:val="005B0425"/>
    <w:rsid w:val="005B08FD"/>
    <w:rsid w:val="005B1830"/>
    <w:rsid w:val="005B2B10"/>
    <w:rsid w:val="005B4AEC"/>
    <w:rsid w:val="005B51C2"/>
    <w:rsid w:val="005B5736"/>
    <w:rsid w:val="005B5DB2"/>
    <w:rsid w:val="005B6119"/>
    <w:rsid w:val="005B6FCE"/>
    <w:rsid w:val="005B7A64"/>
    <w:rsid w:val="005C02ED"/>
    <w:rsid w:val="005C1551"/>
    <w:rsid w:val="005C3979"/>
    <w:rsid w:val="005C43E1"/>
    <w:rsid w:val="005D7F77"/>
    <w:rsid w:val="005E0601"/>
    <w:rsid w:val="005E147F"/>
    <w:rsid w:val="005E14F0"/>
    <w:rsid w:val="005E4165"/>
    <w:rsid w:val="005E45D1"/>
    <w:rsid w:val="005E4A7B"/>
    <w:rsid w:val="005E67F3"/>
    <w:rsid w:val="005F23C2"/>
    <w:rsid w:val="005F2487"/>
    <w:rsid w:val="005F41CF"/>
    <w:rsid w:val="005F4A4A"/>
    <w:rsid w:val="005F4C5B"/>
    <w:rsid w:val="005F61E7"/>
    <w:rsid w:val="005F7541"/>
    <w:rsid w:val="00600ADF"/>
    <w:rsid w:val="00601679"/>
    <w:rsid w:val="00604269"/>
    <w:rsid w:val="0060556E"/>
    <w:rsid w:val="006152CE"/>
    <w:rsid w:val="0061577D"/>
    <w:rsid w:val="006227CE"/>
    <w:rsid w:val="0062354A"/>
    <w:rsid w:val="0062426D"/>
    <w:rsid w:val="00625BDF"/>
    <w:rsid w:val="0062647B"/>
    <w:rsid w:val="006277E5"/>
    <w:rsid w:val="00630446"/>
    <w:rsid w:val="00631427"/>
    <w:rsid w:val="00633EFC"/>
    <w:rsid w:val="006357AD"/>
    <w:rsid w:val="00635C53"/>
    <w:rsid w:val="00640689"/>
    <w:rsid w:val="00643177"/>
    <w:rsid w:val="00644AF5"/>
    <w:rsid w:val="00645DDF"/>
    <w:rsid w:val="00646CE0"/>
    <w:rsid w:val="00646D7A"/>
    <w:rsid w:val="00652347"/>
    <w:rsid w:val="00660E1A"/>
    <w:rsid w:val="00661936"/>
    <w:rsid w:val="00665C1F"/>
    <w:rsid w:val="00670FD7"/>
    <w:rsid w:val="006734AB"/>
    <w:rsid w:val="00674C13"/>
    <w:rsid w:val="006754E3"/>
    <w:rsid w:val="00677217"/>
    <w:rsid w:val="0068019D"/>
    <w:rsid w:val="006836FE"/>
    <w:rsid w:val="0068766D"/>
    <w:rsid w:val="006903CF"/>
    <w:rsid w:val="006920F8"/>
    <w:rsid w:val="00694EBF"/>
    <w:rsid w:val="00694F5C"/>
    <w:rsid w:val="00696E4B"/>
    <w:rsid w:val="006A17DD"/>
    <w:rsid w:val="006A4C9E"/>
    <w:rsid w:val="006A4D57"/>
    <w:rsid w:val="006A62EA"/>
    <w:rsid w:val="006A6DC7"/>
    <w:rsid w:val="006A7B6A"/>
    <w:rsid w:val="006B02D5"/>
    <w:rsid w:val="006B18BB"/>
    <w:rsid w:val="006B2144"/>
    <w:rsid w:val="006B2517"/>
    <w:rsid w:val="006B3B65"/>
    <w:rsid w:val="006C00CD"/>
    <w:rsid w:val="006C28D8"/>
    <w:rsid w:val="006C5C78"/>
    <w:rsid w:val="006C7CC9"/>
    <w:rsid w:val="006D3559"/>
    <w:rsid w:val="006D393A"/>
    <w:rsid w:val="006D3D2D"/>
    <w:rsid w:val="006D3DF4"/>
    <w:rsid w:val="006D3EB1"/>
    <w:rsid w:val="006D4F93"/>
    <w:rsid w:val="006D6500"/>
    <w:rsid w:val="006D6A0A"/>
    <w:rsid w:val="006D6BF3"/>
    <w:rsid w:val="006D7451"/>
    <w:rsid w:val="006E1221"/>
    <w:rsid w:val="006E158D"/>
    <w:rsid w:val="006E74A8"/>
    <w:rsid w:val="006F10B1"/>
    <w:rsid w:val="006F33EF"/>
    <w:rsid w:val="006F4C32"/>
    <w:rsid w:val="006F6527"/>
    <w:rsid w:val="006F65F9"/>
    <w:rsid w:val="00701432"/>
    <w:rsid w:val="007033B2"/>
    <w:rsid w:val="007039ED"/>
    <w:rsid w:val="007069B6"/>
    <w:rsid w:val="00711556"/>
    <w:rsid w:val="0071371C"/>
    <w:rsid w:val="00716196"/>
    <w:rsid w:val="00716830"/>
    <w:rsid w:val="00717917"/>
    <w:rsid w:val="00720261"/>
    <w:rsid w:val="007227F9"/>
    <w:rsid w:val="0072420B"/>
    <w:rsid w:val="0072498F"/>
    <w:rsid w:val="00724E10"/>
    <w:rsid w:val="00726AD4"/>
    <w:rsid w:val="007312DD"/>
    <w:rsid w:val="0073344C"/>
    <w:rsid w:val="00733E29"/>
    <w:rsid w:val="00733F29"/>
    <w:rsid w:val="007403C5"/>
    <w:rsid w:val="007413B3"/>
    <w:rsid w:val="00742451"/>
    <w:rsid w:val="00743F89"/>
    <w:rsid w:val="00745120"/>
    <w:rsid w:val="00752C9C"/>
    <w:rsid w:val="00752D03"/>
    <w:rsid w:val="00753338"/>
    <w:rsid w:val="00753B0A"/>
    <w:rsid w:val="007547EA"/>
    <w:rsid w:val="007556E9"/>
    <w:rsid w:val="0075654C"/>
    <w:rsid w:val="00757FB5"/>
    <w:rsid w:val="0076055E"/>
    <w:rsid w:val="00764137"/>
    <w:rsid w:val="00764633"/>
    <w:rsid w:val="00764A3B"/>
    <w:rsid w:val="00765B1B"/>
    <w:rsid w:val="00765B94"/>
    <w:rsid w:val="00766FCD"/>
    <w:rsid w:val="00773E67"/>
    <w:rsid w:val="00774430"/>
    <w:rsid w:val="0077640A"/>
    <w:rsid w:val="0078077B"/>
    <w:rsid w:val="00781E0F"/>
    <w:rsid w:val="00783DAB"/>
    <w:rsid w:val="007844CF"/>
    <w:rsid w:val="00795379"/>
    <w:rsid w:val="007978D7"/>
    <w:rsid w:val="007A2B9D"/>
    <w:rsid w:val="007A2F4E"/>
    <w:rsid w:val="007A5042"/>
    <w:rsid w:val="007B254C"/>
    <w:rsid w:val="007B5B08"/>
    <w:rsid w:val="007B68C4"/>
    <w:rsid w:val="007B6B27"/>
    <w:rsid w:val="007C0A1F"/>
    <w:rsid w:val="007C23EA"/>
    <w:rsid w:val="007C3775"/>
    <w:rsid w:val="007C601E"/>
    <w:rsid w:val="007D203D"/>
    <w:rsid w:val="007D4887"/>
    <w:rsid w:val="007D6DB0"/>
    <w:rsid w:val="007E05D6"/>
    <w:rsid w:val="007E101A"/>
    <w:rsid w:val="007E24AC"/>
    <w:rsid w:val="007E2A06"/>
    <w:rsid w:val="007E4D38"/>
    <w:rsid w:val="007E6DFE"/>
    <w:rsid w:val="007F0362"/>
    <w:rsid w:val="007F0CBF"/>
    <w:rsid w:val="007F2978"/>
    <w:rsid w:val="007F40F8"/>
    <w:rsid w:val="00805271"/>
    <w:rsid w:val="008103D9"/>
    <w:rsid w:val="00815723"/>
    <w:rsid w:val="00816475"/>
    <w:rsid w:val="00820EFF"/>
    <w:rsid w:val="00824CD9"/>
    <w:rsid w:val="008260F9"/>
    <w:rsid w:val="00830802"/>
    <w:rsid w:val="00830D91"/>
    <w:rsid w:val="00831CA2"/>
    <w:rsid w:val="00832387"/>
    <w:rsid w:val="0083274A"/>
    <w:rsid w:val="008348CD"/>
    <w:rsid w:val="008358B4"/>
    <w:rsid w:val="008370F3"/>
    <w:rsid w:val="00840C23"/>
    <w:rsid w:val="0084177C"/>
    <w:rsid w:val="00842C79"/>
    <w:rsid w:val="00844D2E"/>
    <w:rsid w:val="00845AD8"/>
    <w:rsid w:val="00845CBB"/>
    <w:rsid w:val="00846CAE"/>
    <w:rsid w:val="00851C55"/>
    <w:rsid w:val="00852B6F"/>
    <w:rsid w:val="0085799D"/>
    <w:rsid w:val="0086067E"/>
    <w:rsid w:val="0086176E"/>
    <w:rsid w:val="00861BFA"/>
    <w:rsid w:val="00865E26"/>
    <w:rsid w:val="00870B28"/>
    <w:rsid w:val="00873409"/>
    <w:rsid w:val="008740D9"/>
    <w:rsid w:val="00880AD2"/>
    <w:rsid w:val="00881AD5"/>
    <w:rsid w:val="00890901"/>
    <w:rsid w:val="00893041"/>
    <w:rsid w:val="008A5573"/>
    <w:rsid w:val="008A7DA7"/>
    <w:rsid w:val="008A7F6C"/>
    <w:rsid w:val="008B1A00"/>
    <w:rsid w:val="008B2494"/>
    <w:rsid w:val="008B3243"/>
    <w:rsid w:val="008B7BBB"/>
    <w:rsid w:val="008C1073"/>
    <w:rsid w:val="008C3E48"/>
    <w:rsid w:val="008C438A"/>
    <w:rsid w:val="008C4EA5"/>
    <w:rsid w:val="008C56C3"/>
    <w:rsid w:val="008C5978"/>
    <w:rsid w:val="008C6766"/>
    <w:rsid w:val="008D0D83"/>
    <w:rsid w:val="008D27C9"/>
    <w:rsid w:val="008D5390"/>
    <w:rsid w:val="008D7A52"/>
    <w:rsid w:val="008E3CA9"/>
    <w:rsid w:val="008E5CB8"/>
    <w:rsid w:val="008E69DA"/>
    <w:rsid w:val="008E7053"/>
    <w:rsid w:val="008E7AE4"/>
    <w:rsid w:val="008F2D60"/>
    <w:rsid w:val="008F38BC"/>
    <w:rsid w:val="008F43CE"/>
    <w:rsid w:val="008F6FB1"/>
    <w:rsid w:val="008F7847"/>
    <w:rsid w:val="00901070"/>
    <w:rsid w:val="00902CAC"/>
    <w:rsid w:val="0090592F"/>
    <w:rsid w:val="009059DA"/>
    <w:rsid w:val="00907C01"/>
    <w:rsid w:val="009113B7"/>
    <w:rsid w:val="009128BA"/>
    <w:rsid w:val="00912D5A"/>
    <w:rsid w:val="00913EE6"/>
    <w:rsid w:val="00914E03"/>
    <w:rsid w:val="00916F61"/>
    <w:rsid w:val="009172B3"/>
    <w:rsid w:val="009218CE"/>
    <w:rsid w:val="00921B0E"/>
    <w:rsid w:val="009261C0"/>
    <w:rsid w:val="009316A0"/>
    <w:rsid w:val="0093668D"/>
    <w:rsid w:val="00936B78"/>
    <w:rsid w:val="00940396"/>
    <w:rsid w:val="00945243"/>
    <w:rsid w:val="00947803"/>
    <w:rsid w:val="0095267D"/>
    <w:rsid w:val="00952E46"/>
    <w:rsid w:val="00954699"/>
    <w:rsid w:val="00955218"/>
    <w:rsid w:val="0096050B"/>
    <w:rsid w:val="00960914"/>
    <w:rsid w:val="00960C70"/>
    <w:rsid w:val="00960D67"/>
    <w:rsid w:val="00962DA1"/>
    <w:rsid w:val="0096746A"/>
    <w:rsid w:val="009713BC"/>
    <w:rsid w:val="0097258C"/>
    <w:rsid w:val="00975A4F"/>
    <w:rsid w:val="00975AFA"/>
    <w:rsid w:val="009813FC"/>
    <w:rsid w:val="00982F2D"/>
    <w:rsid w:val="009830A2"/>
    <w:rsid w:val="00983362"/>
    <w:rsid w:val="00984B91"/>
    <w:rsid w:val="0098583F"/>
    <w:rsid w:val="0098753E"/>
    <w:rsid w:val="00987782"/>
    <w:rsid w:val="00997A65"/>
    <w:rsid w:val="009A09E1"/>
    <w:rsid w:val="009A2440"/>
    <w:rsid w:val="009A2735"/>
    <w:rsid w:val="009A40BA"/>
    <w:rsid w:val="009A5741"/>
    <w:rsid w:val="009A6881"/>
    <w:rsid w:val="009A7929"/>
    <w:rsid w:val="009B0295"/>
    <w:rsid w:val="009B0B5E"/>
    <w:rsid w:val="009B4282"/>
    <w:rsid w:val="009B6142"/>
    <w:rsid w:val="009C0F90"/>
    <w:rsid w:val="009C1D65"/>
    <w:rsid w:val="009C217C"/>
    <w:rsid w:val="009C2BD4"/>
    <w:rsid w:val="009C6904"/>
    <w:rsid w:val="009C77FB"/>
    <w:rsid w:val="009C7BED"/>
    <w:rsid w:val="009D44C6"/>
    <w:rsid w:val="009D7EFE"/>
    <w:rsid w:val="009E0430"/>
    <w:rsid w:val="009E0D8E"/>
    <w:rsid w:val="009E29D7"/>
    <w:rsid w:val="009E6674"/>
    <w:rsid w:val="009F1DE3"/>
    <w:rsid w:val="009F5743"/>
    <w:rsid w:val="009F59EB"/>
    <w:rsid w:val="009F62C3"/>
    <w:rsid w:val="009F7DC2"/>
    <w:rsid w:val="00A005D6"/>
    <w:rsid w:val="00A04F6D"/>
    <w:rsid w:val="00A075FB"/>
    <w:rsid w:val="00A105E1"/>
    <w:rsid w:val="00A10ECB"/>
    <w:rsid w:val="00A11737"/>
    <w:rsid w:val="00A1275E"/>
    <w:rsid w:val="00A12960"/>
    <w:rsid w:val="00A1313B"/>
    <w:rsid w:val="00A200DB"/>
    <w:rsid w:val="00A206E4"/>
    <w:rsid w:val="00A21BF0"/>
    <w:rsid w:val="00A221E6"/>
    <w:rsid w:val="00A270A2"/>
    <w:rsid w:val="00A273AC"/>
    <w:rsid w:val="00A34F43"/>
    <w:rsid w:val="00A36C20"/>
    <w:rsid w:val="00A37AA5"/>
    <w:rsid w:val="00A41680"/>
    <w:rsid w:val="00A4609C"/>
    <w:rsid w:val="00A47336"/>
    <w:rsid w:val="00A504B6"/>
    <w:rsid w:val="00A51583"/>
    <w:rsid w:val="00A52020"/>
    <w:rsid w:val="00A5715D"/>
    <w:rsid w:val="00A6101F"/>
    <w:rsid w:val="00A616B3"/>
    <w:rsid w:val="00A6215A"/>
    <w:rsid w:val="00A64CB7"/>
    <w:rsid w:val="00A64FBD"/>
    <w:rsid w:val="00A66178"/>
    <w:rsid w:val="00A71658"/>
    <w:rsid w:val="00A71FEE"/>
    <w:rsid w:val="00A72CEF"/>
    <w:rsid w:val="00A746E1"/>
    <w:rsid w:val="00A75150"/>
    <w:rsid w:val="00A759CD"/>
    <w:rsid w:val="00A75B73"/>
    <w:rsid w:val="00A80E25"/>
    <w:rsid w:val="00A82949"/>
    <w:rsid w:val="00A83F6F"/>
    <w:rsid w:val="00A857A6"/>
    <w:rsid w:val="00A870DF"/>
    <w:rsid w:val="00A91868"/>
    <w:rsid w:val="00A93D5C"/>
    <w:rsid w:val="00A95381"/>
    <w:rsid w:val="00A95FBF"/>
    <w:rsid w:val="00A9715D"/>
    <w:rsid w:val="00A9749F"/>
    <w:rsid w:val="00AA0876"/>
    <w:rsid w:val="00AA23D8"/>
    <w:rsid w:val="00AA4A5A"/>
    <w:rsid w:val="00AA568D"/>
    <w:rsid w:val="00AB02CD"/>
    <w:rsid w:val="00AB3FFD"/>
    <w:rsid w:val="00AB480F"/>
    <w:rsid w:val="00AC09A1"/>
    <w:rsid w:val="00AC369C"/>
    <w:rsid w:val="00AC3D07"/>
    <w:rsid w:val="00AC4033"/>
    <w:rsid w:val="00AC6B8A"/>
    <w:rsid w:val="00AC6CC4"/>
    <w:rsid w:val="00AD1EC3"/>
    <w:rsid w:val="00AD510B"/>
    <w:rsid w:val="00AD5CD5"/>
    <w:rsid w:val="00AD6E31"/>
    <w:rsid w:val="00AE0AC7"/>
    <w:rsid w:val="00AE18AA"/>
    <w:rsid w:val="00AE44AF"/>
    <w:rsid w:val="00AE59BB"/>
    <w:rsid w:val="00AE61CD"/>
    <w:rsid w:val="00AE6672"/>
    <w:rsid w:val="00AE6C37"/>
    <w:rsid w:val="00AE6E1B"/>
    <w:rsid w:val="00AE7B3C"/>
    <w:rsid w:val="00AF3BB0"/>
    <w:rsid w:val="00B004B5"/>
    <w:rsid w:val="00B00C5E"/>
    <w:rsid w:val="00B02CB6"/>
    <w:rsid w:val="00B04339"/>
    <w:rsid w:val="00B06BDA"/>
    <w:rsid w:val="00B07D82"/>
    <w:rsid w:val="00B10C84"/>
    <w:rsid w:val="00B124C3"/>
    <w:rsid w:val="00B12597"/>
    <w:rsid w:val="00B12DD8"/>
    <w:rsid w:val="00B14009"/>
    <w:rsid w:val="00B1706A"/>
    <w:rsid w:val="00B25499"/>
    <w:rsid w:val="00B26CAF"/>
    <w:rsid w:val="00B30591"/>
    <w:rsid w:val="00B31597"/>
    <w:rsid w:val="00B316BC"/>
    <w:rsid w:val="00B32F02"/>
    <w:rsid w:val="00B42BEB"/>
    <w:rsid w:val="00B4595A"/>
    <w:rsid w:val="00B468B6"/>
    <w:rsid w:val="00B46901"/>
    <w:rsid w:val="00B46E51"/>
    <w:rsid w:val="00B47893"/>
    <w:rsid w:val="00B504B0"/>
    <w:rsid w:val="00B50C64"/>
    <w:rsid w:val="00B50C7D"/>
    <w:rsid w:val="00B525DE"/>
    <w:rsid w:val="00B529CD"/>
    <w:rsid w:val="00B62B8A"/>
    <w:rsid w:val="00B63BA9"/>
    <w:rsid w:val="00B65328"/>
    <w:rsid w:val="00B65585"/>
    <w:rsid w:val="00B657D2"/>
    <w:rsid w:val="00B658A3"/>
    <w:rsid w:val="00B7130D"/>
    <w:rsid w:val="00B71E40"/>
    <w:rsid w:val="00B74AE4"/>
    <w:rsid w:val="00B76157"/>
    <w:rsid w:val="00B77F41"/>
    <w:rsid w:val="00B77FC3"/>
    <w:rsid w:val="00B83D8B"/>
    <w:rsid w:val="00B83EAC"/>
    <w:rsid w:val="00B93049"/>
    <w:rsid w:val="00B93D3F"/>
    <w:rsid w:val="00B94631"/>
    <w:rsid w:val="00B96737"/>
    <w:rsid w:val="00B97E86"/>
    <w:rsid w:val="00BA1C2F"/>
    <w:rsid w:val="00BA1DCE"/>
    <w:rsid w:val="00BA2457"/>
    <w:rsid w:val="00BA3204"/>
    <w:rsid w:val="00BA652F"/>
    <w:rsid w:val="00BA6F35"/>
    <w:rsid w:val="00BA7C4B"/>
    <w:rsid w:val="00BB151F"/>
    <w:rsid w:val="00BB3290"/>
    <w:rsid w:val="00BB5317"/>
    <w:rsid w:val="00BC1E71"/>
    <w:rsid w:val="00BC3327"/>
    <w:rsid w:val="00BD05AB"/>
    <w:rsid w:val="00BD0D20"/>
    <w:rsid w:val="00BD23E6"/>
    <w:rsid w:val="00BD3366"/>
    <w:rsid w:val="00BD373E"/>
    <w:rsid w:val="00BD6449"/>
    <w:rsid w:val="00BD71BE"/>
    <w:rsid w:val="00BE0840"/>
    <w:rsid w:val="00BE350F"/>
    <w:rsid w:val="00BE37EA"/>
    <w:rsid w:val="00BE71DB"/>
    <w:rsid w:val="00BF1CB7"/>
    <w:rsid w:val="00BF3440"/>
    <w:rsid w:val="00BF3799"/>
    <w:rsid w:val="00BF4A94"/>
    <w:rsid w:val="00BF618E"/>
    <w:rsid w:val="00C0015E"/>
    <w:rsid w:val="00C006E1"/>
    <w:rsid w:val="00C105EB"/>
    <w:rsid w:val="00C142BE"/>
    <w:rsid w:val="00C16C0C"/>
    <w:rsid w:val="00C20281"/>
    <w:rsid w:val="00C21C72"/>
    <w:rsid w:val="00C22F01"/>
    <w:rsid w:val="00C23E43"/>
    <w:rsid w:val="00C24E30"/>
    <w:rsid w:val="00C268C1"/>
    <w:rsid w:val="00C313C7"/>
    <w:rsid w:val="00C34EDC"/>
    <w:rsid w:val="00C4047B"/>
    <w:rsid w:val="00C41A56"/>
    <w:rsid w:val="00C43346"/>
    <w:rsid w:val="00C44998"/>
    <w:rsid w:val="00C47AA9"/>
    <w:rsid w:val="00C53B5B"/>
    <w:rsid w:val="00C57432"/>
    <w:rsid w:val="00C579CF"/>
    <w:rsid w:val="00C60DE7"/>
    <w:rsid w:val="00C60EC3"/>
    <w:rsid w:val="00C62534"/>
    <w:rsid w:val="00C62C27"/>
    <w:rsid w:val="00C6315C"/>
    <w:rsid w:val="00C63729"/>
    <w:rsid w:val="00C7210A"/>
    <w:rsid w:val="00C73F52"/>
    <w:rsid w:val="00C757F6"/>
    <w:rsid w:val="00C75EC9"/>
    <w:rsid w:val="00C76DB1"/>
    <w:rsid w:val="00C80A63"/>
    <w:rsid w:val="00C8377C"/>
    <w:rsid w:val="00C83C82"/>
    <w:rsid w:val="00C85799"/>
    <w:rsid w:val="00C87895"/>
    <w:rsid w:val="00C90C06"/>
    <w:rsid w:val="00C93016"/>
    <w:rsid w:val="00C93505"/>
    <w:rsid w:val="00C93ACD"/>
    <w:rsid w:val="00C957AA"/>
    <w:rsid w:val="00C967FC"/>
    <w:rsid w:val="00C97398"/>
    <w:rsid w:val="00CA0F7A"/>
    <w:rsid w:val="00CA171E"/>
    <w:rsid w:val="00CA56A6"/>
    <w:rsid w:val="00CA7295"/>
    <w:rsid w:val="00CB059B"/>
    <w:rsid w:val="00CB0FE2"/>
    <w:rsid w:val="00CB5114"/>
    <w:rsid w:val="00CB6904"/>
    <w:rsid w:val="00CB7D49"/>
    <w:rsid w:val="00CB7F06"/>
    <w:rsid w:val="00CC2B85"/>
    <w:rsid w:val="00CC3F4C"/>
    <w:rsid w:val="00CC6026"/>
    <w:rsid w:val="00CD2F66"/>
    <w:rsid w:val="00CD3835"/>
    <w:rsid w:val="00CE6CD2"/>
    <w:rsid w:val="00CE71DF"/>
    <w:rsid w:val="00CE75E0"/>
    <w:rsid w:val="00CE766B"/>
    <w:rsid w:val="00CF1775"/>
    <w:rsid w:val="00CF2E62"/>
    <w:rsid w:val="00CF38D8"/>
    <w:rsid w:val="00CF4F97"/>
    <w:rsid w:val="00CF5A8D"/>
    <w:rsid w:val="00CF5D10"/>
    <w:rsid w:val="00CF6F45"/>
    <w:rsid w:val="00D0355A"/>
    <w:rsid w:val="00D04C0B"/>
    <w:rsid w:val="00D06257"/>
    <w:rsid w:val="00D06457"/>
    <w:rsid w:val="00D070C8"/>
    <w:rsid w:val="00D10063"/>
    <w:rsid w:val="00D10077"/>
    <w:rsid w:val="00D142A3"/>
    <w:rsid w:val="00D21E57"/>
    <w:rsid w:val="00D22D40"/>
    <w:rsid w:val="00D26A84"/>
    <w:rsid w:val="00D27A2C"/>
    <w:rsid w:val="00D27B4D"/>
    <w:rsid w:val="00D27C3B"/>
    <w:rsid w:val="00D326BF"/>
    <w:rsid w:val="00D33994"/>
    <w:rsid w:val="00D3400F"/>
    <w:rsid w:val="00D40F72"/>
    <w:rsid w:val="00D44FD5"/>
    <w:rsid w:val="00D474CC"/>
    <w:rsid w:val="00D572EE"/>
    <w:rsid w:val="00D63A36"/>
    <w:rsid w:val="00D658E9"/>
    <w:rsid w:val="00D66B14"/>
    <w:rsid w:val="00D66D4E"/>
    <w:rsid w:val="00D72126"/>
    <w:rsid w:val="00D72AA5"/>
    <w:rsid w:val="00D72E67"/>
    <w:rsid w:val="00D75AC2"/>
    <w:rsid w:val="00D76273"/>
    <w:rsid w:val="00D76738"/>
    <w:rsid w:val="00D80D2B"/>
    <w:rsid w:val="00D86276"/>
    <w:rsid w:val="00D92590"/>
    <w:rsid w:val="00D942F3"/>
    <w:rsid w:val="00D966C4"/>
    <w:rsid w:val="00D9736E"/>
    <w:rsid w:val="00DA2615"/>
    <w:rsid w:val="00DA62EF"/>
    <w:rsid w:val="00DA6748"/>
    <w:rsid w:val="00DB2CE2"/>
    <w:rsid w:val="00DB31CA"/>
    <w:rsid w:val="00DB33AB"/>
    <w:rsid w:val="00DB5C2D"/>
    <w:rsid w:val="00DB6A47"/>
    <w:rsid w:val="00DC0AAB"/>
    <w:rsid w:val="00DC2E77"/>
    <w:rsid w:val="00DC4711"/>
    <w:rsid w:val="00DD0FC7"/>
    <w:rsid w:val="00DD1B61"/>
    <w:rsid w:val="00DD5ACB"/>
    <w:rsid w:val="00DE02EC"/>
    <w:rsid w:val="00DE0A91"/>
    <w:rsid w:val="00DE1958"/>
    <w:rsid w:val="00DE2908"/>
    <w:rsid w:val="00DE6712"/>
    <w:rsid w:val="00DE6738"/>
    <w:rsid w:val="00DE6D22"/>
    <w:rsid w:val="00DE75A1"/>
    <w:rsid w:val="00DF4432"/>
    <w:rsid w:val="00DF5F70"/>
    <w:rsid w:val="00DF7556"/>
    <w:rsid w:val="00DF7808"/>
    <w:rsid w:val="00DF7CE4"/>
    <w:rsid w:val="00E0066F"/>
    <w:rsid w:val="00E01109"/>
    <w:rsid w:val="00E049EF"/>
    <w:rsid w:val="00E052E2"/>
    <w:rsid w:val="00E11F40"/>
    <w:rsid w:val="00E120F7"/>
    <w:rsid w:val="00E12559"/>
    <w:rsid w:val="00E15178"/>
    <w:rsid w:val="00E1591B"/>
    <w:rsid w:val="00E17EB1"/>
    <w:rsid w:val="00E209E0"/>
    <w:rsid w:val="00E20D91"/>
    <w:rsid w:val="00E21D9A"/>
    <w:rsid w:val="00E2799F"/>
    <w:rsid w:val="00E308DF"/>
    <w:rsid w:val="00E318AC"/>
    <w:rsid w:val="00E362CA"/>
    <w:rsid w:val="00E3720D"/>
    <w:rsid w:val="00E434F3"/>
    <w:rsid w:val="00E4458C"/>
    <w:rsid w:val="00E44F7C"/>
    <w:rsid w:val="00E465B3"/>
    <w:rsid w:val="00E50DFF"/>
    <w:rsid w:val="00E54077"/>
    <w:rsid w:val="00E57B7E"/>
    <w:rsid w:val="00E602E9"/>
    <w:rsid w:val="00E620D3"/>
    <w:rsid w:val="00E6312F"/>
    <w:rsid w:val="00E6534A"/>
    <w:rsid w:val="00E70799"/>
    <w:rsid w:val="00E72DDF"/>
    <w:rsid w:val="00E72EBA"/>
    <w:rsid w:val="00E75283"/>
    <w:rsid w:val="00E77C78"/>
    <w:rsid w:val="00E80956"/>
    <w:rsid w:val="00E8367E"/>
    <w:rsid w:val="00E83914"/>
    <w:rsid w:val="00E8448C"/>
    <w:rsid w:val="00E84FE5"/>
    <w:rsid w:val="00E86F1C"/>
    <w:rsid w:val="00E875FD"/>
    <w:rsid w:val="00E9186C"/>
    <w:rsid w:val="00E91F3B"/>
    <w:rsid w:val="00E926A2"/>
    <w:rsid w:val="00E92B4F"/>
    <w:rsid w:val="00E93089"/>
    <w:rsid w:val="00E95344"/>
    <w:rsid w:val="00E96045"/>
    <w:rsid w:val="00EA550E"/>
    <w:rsid w:val="00EA5A13"/>
    <w:rsid w:val="00EB2193"/>
    <w:rsid w:val="00EB3D14"/>
    <w:rsid w:val="00EB74BB"/>
    <w:rsid w:val="00EC0A0F"/>
    <w:rsid w:val="00EC0D1C"/>
    <w:rsid w:val="00EC0D86"/>
    <w:rsid w:val="00EC1034"/>
    <w:rsid w:val="00EC233A"/>
    <w:rsid w:val="00EC3003"/>
    <w:rsid w:val="00EE346A"/>
    <w:rsid w:val="00EE71FB"/>
    <w:rsid w:val="00EF00A7"/>
    <w:rsid w:val="00EF36BB"/>
    <w:rsid w:val="00EF5AEF"/>
    <w:rsid w:val="00EF5BAE"/>
    <w:rsid w:val="00F019DD"/>
    <w:rsid w:val="00F02DC1"/>
    <w:rsid w:val="00F03613"/>
    <w:rsid w:val="00F03FEE"/>
    <w:rsid w:val="00F06279"/>
    <w:rsid w:val="00F078DB"/>
    <w:rsid w:val="00F102F5"/>
    <w:rsid w:val="00F10373"/>
    <w:rsid w:val="00F1107E"/>
    <w:rsid w:val="00F113DB"/>
    <w:rsid w:val="00F15E69"/>
    <w:rsid w:val="00F16C61"/>
    <w:rsid w:val="00F17FCF"/>
    <w:rsid w:val="00F22099"/>
    <w:rsid w:val="00F2477A"/>
    <w:rsid w:val="00F26DD4"/>
    <w:rsid w:val="00F32F67"/>
    <w:rsid w:val="00F33E4A"/>
    <w:rsid w:val="00F36D99"/>
    <w:rsid w:val="00F376A3"/>
    <w:rsid w:val="00F37A8A"/>
    <w:rsid w:val="00F425D3"/>
    <w:rsid w:val="00F42931"/>
    <w:rsid w:val="00F4518B"/>
    <w:rsid w:val="00F45EA2"/>
    <w:rsid w:val="00F4742F"/>
    <w:rsid w:val="00F51933"/>
    <w:rsid w:val="00F52A3D"/>
    <w:rsid w:val="00F53030"/>
    <w:rsid w:val="00F53881"/>
    <w:rsid w:val="00F53A6D"/>
    <w:rsid w:val="00F54813"/>
    <w:rsid w:val="00F54E05"/>
    <w:rsid w:val="00F605E1"/>
    <w:rsid w:val="00F62E67"/>
    <w:rsid w:val="00F63B93"/>
    <w:rsid w:val="00F659B6"/>
    <w:rsid w:val="00F65A08"/>
    <w:rsid w:val="00F66544"/>
    <w:rsid w:val="00F665B9"/>
    <w:rsid w:val="00F722CE"/>
    <w:rsid w:val="00F725A3"/>
    <w:rsid w:val="00F74111"/>
    <w:rsid w:val="00F74582"/>
    <w:rsid w:val="00F81157"/>
    <w:rsid w:val="00F82B1E"/>
    <w:rsid w:val="00F82C31"/>
    <w:rsid w:val="00F846E6"/>
    <w:rsid w:val="00F90E5B"/>
    <w:rsid w:val="00F934E6"/>
    <w:rsid w:val="00F94B77"/>
    <w:rsid w:val="00F94C4B"/>
    <w:rsid w:val="00F95D1D"/>
    <w:rsid w:val="00F961D2"/>
    <w:rsid w:val="00F96F14"/>
    <w:rsid w:val="00FA431B"/>
    <w:rsid w:val="00FA573D"/>
    <w:rsid w:val="00FA5B3B"/>
    <w:rsid w:val="00FA5E3B"/>
    <w:rsid w:val="00FA68B7"/>
    <w:rsid w:val="00FB24D5"/>
    <w:rsid w:val="00FB28EB"/>
    <w:rsid w:val="00FB2ECA"/>
    <w:rsid w:val="00FB7685"/>
    <w:rsid w:val="00FC0C82"/>
    <w:rsid w:val="00FC1365"/>
    <w:rsid w:val="00FC348F"/>
    <w:rsid w:val="00FC3813"/>
    <w:rsid w:val="00FC4CDC"/>
    <w:rsid w:val="00FC613E"/>
    <w:rsid w:val="00FD1BA3"/>
    <w:rsid w:val="00FD20FF"/>
    <w:rsid w:val="00FD24EE"/>
    <w:rsid w:val="00FD6355"/>
    <w:rsid w:val="00FE2EFE"/>
    <w:rsid w:val="00FE38EE"/>
    <w:rsid w:val="00FE5134"/>
    <w:rsid w:val="00FF0E2C"/>
    <w:rsid w:val="00FF2505"/>
    <w:rsid w:val="00FF4564"/>
    <w:rsid w:val="00FF52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4BEB838F"/>
  <w15:docId w15:val="{EA480CDD-A72B-4FE8-B1B6-775D442D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5"/>
    <w:qFormat/>
    <w:rsid w:val="00595461"/>
    <w:pPr>
      <w:spacing w:after="60" w:line="276" w:lineRule="auto"/>
      <w:ind w:left="680" w:right="215"/>
    </w:pPr>
    <w:rPr>
      <w:rFonts w:cs="Arial"/>
      <w:sz w:val="22"/>
      <w:szCs w:val="22"/>
      <w:lang w:eastAsia="en-US"/>
    </w:rPr>
  </w:style>
  <w:style w:type="paragraph" w:styleId="berschrift1">
    <w:name w:val="heading 1"/>
    <w:basedOn w:val="Standard"/>
    <w:next w:val="Standard"/>
    <w:link w:val="berschrift1Zchn"/>
    <w:autoRedefine/>
    <w:uiPriority w:val="99"/>
    <w:qFormat/>
    <w:rsid w:val="0068766D"/>
    <w:pPr>
      <w:keepNext/>
      <w:keepLines/>
      <w:numPr>
        <w:numId w:val="1"/>
      </w:numPr>
      <w:suppressAutoHyphens/>
      <w:spacing w:before="240" w:after="0"/>
      <w:ind w:left="709" w:firstLine="0"/>
      <w:outlineLvl w:val="0"/>
    </w:pPr>
    <w:rPr>
      <w:rFonts w:eastAsia="Times New Roman"/>
      <w:b/>
      <w:bCs/>
      <w:sz w:val="36"/>
      <w:szCs w:val="28"/>
    </w:rPr>
  </w:style>
  <w:style w:type="paragraph" w:styleId="berschrift2">
    <w:name w:val="heading 2"/>
    <w:basedOn w:val="Standard"/>
    <w:next w:val="Standard"/>
    <w:link w:val="berschrift2Zchn"/>
    <w:autoRedefine/>
    <w:uiPriority w:val="99"/>
    <w:qFormat/>
    <w:rsid w:val="000073BF"/>
    <w:pPr>
      <w:keepNext/>
      <w:keepLines/>
      <w:numPr>
        <w:ilvl w:val="1"/>
        <w:numId w:val="1"/>
      </w:numPr>
      <w:spacing w:before="120" w:after="0"/>
      <w:ind w:left="1418" w:hanging="738"/>
      <w:outlineLvl w:val="1"/>
    </w:pPr>
    <w:rPr>
      <w:rFonts w:eastAsia="Times New Roman"/>
      <w:b/>
      <w:bCs/>
      <w:sz w:val="28"/>
      <w:szCs w:val="26"/>
      <w:lang w:val="fr-CH"/>
    </w:rPr>
  </w:style>
  <w:style w:type="paragraph" w:styleId="berschrift3">
    <w:name w:val="heading 3"/>
    <w:basedOn w:val="Standard"/>
    <w:next w:val="Standard"/>
    <w:link w:val="berschrift3Zchn"/>
    <w:autoRedefine/>
    <w:uiPriority w:val="99"/>
    <w:qFormat/>
    <w:rsid w:val="00401BD0"/>
    <w:pPr>
      <w:keepNext/>
      <w:keepLines/>
      <w:numPr>
        <w:ilvl w:val="2"/>
        <w:numId w:val="1"/>
      </w:numPr>
      <w:spacing w:before="120" w:line="240" w:lineRule="auto"/>
      <w:ind w:left="822" w:right="0" w:hanging="142"/>
      <w:outlineLvl w:val="2"/>
    </w:pPr>
    <w:rPr>
      <w:rFonts w:eastAsia="Times New Roman"/>
      <w:b/>
      <w:bCs/>
    </w:rPr>
  </w:style>
  <w:style w:type="paragraph" w:styleId="berschrift4">
    <w:name w:val="heading 4"/>
    <w:basedOn w:val="Standard"/>
    <w:next w:val="Standard"/>
    <w:link w:val="berschrift4Zchn"/>
    <w:uiPriority w:val="99"/>
    <w:unhideWhenUsed/>
    <w:qFormat/>
    <w:rsid w:val="00F113DB"/>
    <w:pPr>
      <w:keepNext/>
      <w:keepLines/>
      <w:numPr>
        <w:ilvl w:val="3"/>
        <w:numId w:val="1"/>
      </w:numPr>
      <w:spacing w:before="200" w:after="0"/>
      <w:outlineLvl w:val="3"/>
    </w:pPr>
    <w:rPr>
      <w:rFonts w:eastAsia="Times New Roman" w:cs="Times New Roman"/>
      <w:b/>
      <w:bCs/>
      <w:i/>
      <w:iCs/>
    </w:rPr>
  </w:style>
  <w:style w:type="paragraph" w:styleId="berschrift5">
    <w:name w:val="heading 5"/>
    <w:basedOn w:val="Standard"/>
    <w:next w:val="Standard"/>
    <w:link w:val="berschrift5Zchn"/>
    <w:uiPriority w:val="99"/>
    <w:qFormat/>
    <w:rsid w:val="00312B4F"/>
    <w:pPr>
      <w:keepNext/>
      <w:keepLines/>
      <w:numPr>
        <w:ilvl w:val="4"/>
        <w:numId w:val="1"/>
      </w:numPr>
      <w:spacing w:before="200" w:after="0"/>
      <w:outlineLvl w:val="4"/>
    </w:pPr>
    <w:rPr>
      <w:rFonts w:eastAsia="Times New Roman" w:cs="Times New Roman"/>
      <w:color w:val="243F60"/>
    </w:rPr>
  </w:style>
  <w:style w:type="paragraph" w:styleId="berschrift6">
    <w:name w:val="heading 6"/>
    <w:basedOn w:val="Standard"/>
    <w:next w:val="Standard"/>
    <w:link w:val="berschrift6Zchn"/>
    <w:uiPriority w:val="99"/>
    <w:qFormat/>
    <w:rsid w:val="00312B4F"/>
    <w:pPr>
      <w:keepNext/>
      <w:keepLines/>
      <w:numPr>
        <w:ilvl w:val="5"/>
        <w:numId w:val="1"/>
      </w:numPr>
      <w:spacing w:before="200" w:after="0"/>
      <w:outlineLvl w:val="5"/>
    </w:pPr>
    <w:rPr>
      <w:rFonts w:eastAsia="Times New Roman" w:cs="Times New Roman"/>
      <w:i/>
      <w:iCs/>
      <w:color w:val="243F60"/>
    </w:rPr>
  </w:style>
  <w:style w:type="paragraph" w:styleId="berschrift7">
    <w:name w:val="heading 7"/>
    <w:basedOn w:val="Standard"/>
    <w:next w:val="Standard"/>
    <w:link w:val="berschrift7Zchn"/>
    <w:uiPriority w:val="99"/>
    <w:qFormat/>
    <w:rsid w:val="00E2799F"/>
    <w:pPr>
      <w:keepNext/>
      <w:keepLines/>
      <w:numPr>
        <w:ilvl w:val="6"/>
        <w:numId w:val="1"/>
      </w:numPr>
      <w:spacing w:before="200" w:after="0"/>
      <w:outlineLvl w:val="6"/>
    </w:pPr>
    <w:rPr>
      <w:rFonts w:eastAsia="Times New Roman" w:cs="Times New Roman"/>
      <w:i/>
      <w:iCs/>
      <w:color w:val="404040"/>
    </w:rPr>
  </w:style>
  <w:style w:type="paragraph" w:styleId="berschrift8">
    <w:name w:val="heading 8"/>
    <w:basedOn w:val="Standard"/>
    <w:next w:val="Standard"/>
    <w:link w:val="berschrift8Zchn"/>
    <w:uiPriority w:val="99"/>
    <w:unhideWhenUsed/>
    <w:qFormat/>
    <w:rsid w:val="00E2799F"/>
    <w:pPr>
      <w:keepNext/>
      <w:keepLines/>
      <w:numPr>
        <w:ilvl w:val="7"/>
        <w:numId w:val="1"/>
      </w:numPr>
      <w:spacing w:before="200" w:after="0"/>
      <w:outlineLvl w:val="7"/>
    </w:pPr>
    <w:rPr>
      <w:rFonts w:eastAsia="Times New Roman" w:cs="Times New Roman"/>
      <w:color w:val="404040"/>
      <w:sz w:val="20"/>
      <w:szCs w:val="20"/>
    </w:rPr>
  </w:style>
  <w:style w:type="paragraph" w:styleId="berschrift9">
    <w:name w:val="heading 9"/>
    <w:basedOn w:val="Standard"/>
    <w:next w:val="Standard"/>
    <w:link w:val="berschrift9Zchn"/>
    <w:uiPriority w:val="99"/>
    <w:unhideWhenUsed/>
    <w:qFormat/>
    <w:rsid w:val="00E2799F"/>
    <w:pPr>
      <w:keepNext/>
      <w:keepLines/>
      <w:numPr>
        <w:ilvl w:val="8"/>
        <w:numId w:val="1"/>
      </w:numPr>
      <w:spacing w:before="200" w:after="0"/>
      <w:outlineLvl w:val="8"/>
    </w:pPr>
    <w:rPr>
      <w:rFonts w:eastAsia="Times New Roman"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68766D"/>
    <w:rPr>
      <w:rFonts w:eastAsia="Times New Roman" w:cs="Arial"/>
      <w:b/>
      <w:bCs/>
      <w:sz w:val="36"/>
      <w:szCs w:val="28"/>
      <w:lang w:eastAsia="en-US"/>
    </w:rPr>
  </w:style>
  <w:style w:type="character" w:customStyle="1" w:styleId="berschrift2Zchn">
    <w:name w:val="Überschrift 2 Zchn"/>
    <w:basedOn w:val="Absatz-Standardschriftart"/>
    <w:link w:val="berschrift2"/>
    <w:uiPriority w:val="99"/>
    <w:rsid w:val="000073BF"/>
    <w:rPr>
      <w:rFonts w:eastAsia="Times New Roman" w:cs="Arial"/>
      <w:b/>
      <w:bCs/>
      <w:sz w:val="28"/>
      <w:szCs w:val="26"/>
      <w:lang w:val="fr-CH" w:eastAsia="en-US"/>
    </w:rPr>
  </w:style>
  <w:style w:type="character" w:customStyle="1" w:styleId="berschrift3Zchn">
    <w:name w:val="Überschrift 3 Zchn"/>
    <w:basedOn w:val="Absatz-Standardschriftart"/>
    <w:link w:val="berschrift3"/>
    <w:uiPriority w:val="99"/>
    <w:rsid w:val="00401BD0"/>
    <w:rPr>
      <w:rFonts w:eastAsia="Times New Roman" w:cs="Arial"/>
      <w:b/>
      <w:bCs/>
      <w:sz w:val="22"/>
      <w:szCs w:val="22"/>
      <w:lang w:eastAsia="en-US"/>
    </w:rPr>
  </w:style>
  <w:style w:type="character" w:customStyle="1" w:styleId="berschrift4Zchn">
    <w:name w:val="Überschrift 4 Zchn"/>
    <w:basedOn w:val="Absatz-Standardschriftart"/>
    <w:link w:val="berschrift4"/>
    <w:uiPriority w:val="99"/>
    <w:rsid w:val="004F13A3"/>
    <w:rPr>
      <w:rFonts w:eastAsia="Times New Roman"/>
      <w:b/>
      <w:bCs/>
      <w:i/>
      <w:iCs/>
      <w:sz w:val="22"/>
      <w:szCs w:val="22"/>
      <w:lang w:eastAsia="en-US"/>
    </w:rPr>
  </w:style>
  <w:style w:type="character" w:customStyle="1" w:styleId="berschrift5Zchn">
    <w:name w:val="Überschrift 5 Zchn"/>
    <w:basedOn w:val="Absatz-Standardschriftart"/>
    <w:link w:val="berschrift5"/>
    <w:uiPriority w:val="99"/>
    <w:rsid w:val="00312B4F"/>
    <w:rPr>
      <w:rFonts w:eastAsia="Times New Roman"/>
      <w:color w:val="243F60"/>
      <w:sz w:val="22"/>
      <w:szCs w:val="22"/>
      <w:lang w:eastAsia="en-US"/>
    </w:rPr>
  </w:style>
  <w:style w:type="character" w:customStyle="1" w:styleId="berschrift6Zchn">
    <w:name w:val="Überschrift 6 Zchn"/>
    <w:basedOn w:val="Absatz-Standardschriftart"/>
    <w:link w:val="berschrift6"/>
    <w:uiPriority w:val="99"/>
    <w:rsid w:val="00312B4F"/>
    <w:rPr>
      <w:rFonts w:eastAsia="Times New Roman"/>
      <w:i/>
      <w:iCs/>
      <w:color w:val="243F60"/>
      <w:sz w:val="22"/>
      <w:szCs w:val="22"/>
      <w:lang w:eastAsia="en-US"/>
    </w:rPr>
  </w:style>
  <w:style w:type="character" w:customStyle="1" w:styleId="berschrift7Zchn">
    <w:name w:val="Überschrift 7 Zchn"/>
    <w:basedOn w:val="Absatz-Standardschriftart"/>
    <w:link w:val="berschrift7"/>
    <w:uiPriority w:val="99"/>
    <w:rsid w:val="00E2799F"/>
    <w:rPr>
      <w:rFonts w:eastAsia="Times New Roman"/>
      <w:i/>
      <w:iCs/>
      <w:color w:val="404040"/>
      <w:sz w:val="22"/>
      <w:szCs w:val="22"/>
      <w:lang w:eastAsia="en-US"/>
    </w:rPr>
  </w:style>
  <w:style w:type="character" w:customStyle="1" w:styleId="berschrift8Zchn">
    <w:name w:val="Überschrift 8 Zchn"/>
    <w:basedOn w:val="Absatz-Standardschriftart"/>
    <w:link w:val="berschrift8"/>
    <w:uiPriority w:val="99"/>
    <w:rsid w:val="00E2799F"/>
    <w:rPr>
      <w:rFonts w:eastAsia="Times New Roman"/>
      <w:color w:val="404040"/>
      <w:lang w:eastAsia="en-US"/>
    </w:rPr>
  </w:style>
  <w:style w:type="character" w:customStyle="1" w:styleId="berschrift9Zchn">
    <w:name w:val="Überschrift 9 Zchn"/>
    <w:basedOn w:val="Absatz-Standardschriftart"/>
    <w:link w:val="berschrift9"/>
    <w:uiPriority w:val="99"/>
    <w:rsid w:val="00E2799F"/>
    <w:rPr>
      <w:rFonts w:eastAsia="Times New Roman"/>
      <w:i/>
      <w:iCs/>
      <w:color w:val="404040"/>
      <w:lang w:eastAsia="en-US"/>
    </w:rPr>
  </w:style>
  <w:style w:type="paragraph" w:styleId="Listenabsatz">
    <w:name w:val="List Paragraph"/>
    <w:basedOn w:val="Standard"/>
    <w:uiPriority w:val="34"/>
    <w:qFormat/>
    <w:rsid w:val="00A857A6"/>
    <w:pPr>
      <w:keepLines/>
      <w:ind w:left="720"/>
      <w:contextualSpacing/>
    </w:pPr>
  </w:style>
  <w:style w:type="paragraph" w:customStyle="1" w:styleId="NummerierteAufzhlung">
    <w:name w:val="Nummerierte Aufzählung"/>
    <w:link w:val="NummerierteAufzhlungZchn"/>
    <w:uiPriority w:val="99"/>
    <w:qFormat/>
    <w:rsid w:val="00463480"/>
    <w:pPr>
      <w:numPr>
        <w:numId w:val="5"/>
      </w:numPr>
      <w:spacing w:after="40" w:line="276" w:lineRule="auto"/>
    </w:pPr>
    <w:rPr>
      <w:sz w:val="22"/>
      <w:szCs w:val="22"/>
      <w:lang w:eastAsia="en-US"/>
    </w:rPr>
  </w:style>
  <w:style w:type="paragraph" w:customStyle="1" w:styleId="AuflistungmitCheckbox">
    <w:name w:val="Auflistung mit Checkbox"/>
    <w:uiPriority w:val="99"/>
    <w:qFormat/>
    <w:rsid w:val="00D72126"/>
    <w:pPr>
      <w:spacing w:after="40" w:line="276" w:lineRule="auto"/>
      <w:ind w:left="340" w:hanging="340"/>
    </w:pPr>
    <w:rPr>
      <w:sz w:val="22"/>
      <w:szCs w:val="22"/>
      <w:lang w:val="fr-CH" w:eastAsia="en-US"/>
    </w:rPr>
  </w:style>
  <w:style w:type="paragraph" w:styleId="Sprechblasentext">
    <w:name w:val="Balloon Text"/>
    <w:basedOn w:val="Standard"/>
    <w:link w:val="SprechblasentextZchn"/>
    <w:uiPriority w:val="99"/>
    <w:semiHidden/>
    <w:unhideWhenUsed/>
    <w:rsid w:val="008F38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38BC"/>
    <w:rPr>
      <w:rFonts w:ascii="Tahoma" w:hAnsi="Tahoma" w:cs="Tahoma"/>
      <w:sz w:val="16"/>
      <w:szCs w:val="16"/>
    </w:rPr>
  </w:style>
  <w:style w:type="paragraph" w:customStyle="1" w:styleId="Bild">
    <w:name w:val="Bild"/>
    <w:basedOn w:val="Standard"/>
    <w:uiPriority w:val="6"/>
    <w:qFormat/>
    <w:rsid w:val="00BA2457"/>
    <w:pPr>
      <w:spacing w:before="240" w:line="240" w:lineRule="auto"/>
      <w:jc w:val="center"/>
    </w:pPr>
    <w:rPr>
      <w:noProof/>
      <w:lang w:eastAsia="de-CH"/>
    </w:rPr>
  </w:style>
  <w:style w:type="paragraph" w:customStyle="1" w:styleId="BildTabellenbeschriftung">
    <w:name w:val="Bild/Tabellenbeschriftung"/>
    <w:basedOn w:val="Standard"/>
    <w:autoRedefine/>
    <w:uiPriority w:val="7"/>
    <w:qFormat/>
    <w:rsid w:val="00753B0A"/>
    <w:pPr>
      <w:spacing w:before="240" w:line="240" w:lineRule="auto"/>
      <w:ind w:left="0" w:right="0"/>
      <w:jc w:val="center"/>
    </w:pPr>
    <w:rPr>
      <w:rFonts w:eastAsia="Times New Roman"/>
      <w:bCs/>
      <w:noProof/>
      <w:sz w:val="18"/>
      <w:szCs w:val="20"/>
      <w:lang w:val="fr-CH" w:eastAsia="de-CH"/>
    </w:rPr>
  </w:style>
  <w:style w:type="paragraph" w:customStyle="1" w:styleId="DatumTitelseite">
    <w:name w:val="Datum Titelseite"/>
    <w:basedOn w:val="Standard"/>
    <w:uiPriority w:val="13"/>
    <w:rsid w:val="00F113DB"/>
    <w:pPr>
      <w:spacing w:after="280" w:line="280" w:lineRule="exact"/>
      <w:ind w:right="28"/>
      <w:jc w:val="right"/>
    </w:pPr>
    <w:rPr>
      <w:rFonts w:eastAsia="Times New Roman" w:cs="Times New Roman"/>
      <w:b/>
      <w:color w:val="000000"/>
      <w:sz w:val="24"/>
      <w:szCs w:val="20"/>
      <w:lang w:eastAsia="de-CH"/>
    </w:rPr>
  </w:style>
  <w:style w:type="paragraph" w:customStyle="1" w:styleId="Haupttitel">
    <w:name w:val="Haupttitel"/>
    <w:basedOn w:val="Standard"/>
    <w:next w:val="Standard"/>
    <w:uiPriority w:val="11"/>
    <w:rsid w:val="00902CAC"/>
    <w:pPr>
      <w:spacing w:after="0" w:line="600" w:lineRule="exact"/>
      <w:ind w:right="28"/>
      <w:jc w:val="right"/>
    </w:pPr>
    <w:rPr>
      <w:rFonts w:eastAsia="Times New Roman" w:cs="Times New Roman"/>
      <w:b/>
      <w:sz w:val="56"/>
      <w:szCs w:val="20"/>
      <w:lang w:eastAsia="de-CH"/>
    </w:rPr>
  </w:style>
  <w:style w:type="paragraph" w:customStyle="1" w:styleId="Haupttitel2">
    <w:name w:val="Haupttitel 2"/>
    <w:basedOn w:val="Haupttitel"/>
    <w:next w:val="Standard"/>
    <w:uiPriority w:val="12"/>
    <w:qFormat/>
    <w:rsid w:val="00902CAC"/>
    <w:rPr>
      <w:b w:val="0"/>
      <w:sz w:val="40"/>
      <w:lang w:val="fr-FR"/>
    </w:rPr>
  </w:style>
  <w:style w:type="paragraph" w:styleId="Kopfzeile">
    <w:name w:val="header"/>
    <w:basedOn w:val="Standard"/>
    <w:link w:val="KopfzeileZchn"/>
    <w:uiPriority w:val="99"/>
    <w:unhideWhenUsed/>
    <w:rsid w:val="00765B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B1B"/>
  </w:style>
  <w:style w:type="paragraph" w:styleId="Fuzeile">
    <w:name w:val="footer"/>
    <w:basedOn w:val="Standard"/>
    <w:link w:val="FuzeileZchn"/>
    <w:uiPriority w:val="99"/>
    <w:unhideWhenUsed/>
    <w:rsid w:val="00765B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B1B"/>
  </w:style>
  <w:style w:type="table" w:styleId="Tabellenraster">
    <w:name w:val="Table Grid"/>
    <w:basedOn w:val="NormaleTabelle"/>
    <w:uiPriority w:val="59"/>
    <w:rsid w:val="0076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
    <w:name w:val="Impressum Titel"/>
    <w:basedOn w:val="Standard"/>
    <w:next w:val="ImpressumText"/>
    <w:uiPriority w:val="14"/>
    <w:qFormat/>
    <w:rsid w:val="00A1275E"/>
    <w:pPr>
      <w:spacing w:after="0"/>
    </w:pPr>
    <w:rPr>
      <w:b/>
      <w:sz w:val="32"/>
    </w:rPr>
  </w:style>
  <w:style w:type="paragraph" w:customStyle="1" w:styleId="ImpressumText">
    <w:name w:val="Impressum Text"/>
    <w:basedOn w:val="ImpressumTitel2"/>
    <w:uiPriority w:val="16"/>
    <w:qFormat/>
    <w:rsid w:val="007C3775"/>
    <w:rPr>
      <w:b w:val="0"/>
    </w:rPr>
  </w:style>
  <w:style w:type="paragraph" w:customStyle="1" w:styleId="ImpressumTitel2">
    <w:name w:val="Impressum Titel 2"/>
    <w:basedOn w:val="ImpressumTitel"/>
    <w:next w:val="ImpressumTitel"/>
    <w:uiPriority w:val="15"/>
    <w:qFormat/>
    <w:rsid w:val="00A1275E"/>
    <w:rPr>
      <w:sz w:val="22"/>
    </w:rPr>
  </w:style>
  <w:style w:type="paragraph" w:styleId="Inhaltsverzeichnisberschrift">
    <w:name w:val="TOC Heading"/>
    <w:basedOn w:val="berschrift1"/>
    <w:next w:val="Standard"/>
    <w:uiPriority w:val="39"/>
    <w:semiHidden/>
    <w:unhideWhenUsed/>
    <w:qFormat/>
    <w:rsid w:val="002075F1"/>
    <w:pPr>
      <w:numPr>
        <w:numId w:val="0"/>
      </w:numPr>
      <w:suppressAutoHyphens w:val="0"/>
      <w:outlineLvl w:val="9"/>
    </w:pPr>
    <w:rPr>
      <w:color w:val="365F91"/>
      <w:sz w:val="28"/>
      <w:lang w:eastAsia="de-CH"/>
    </w:rPr>
  </w:style>
  <w:style w:type="paragraph" w:styleId="Verzeichnis1">
    <w:name w:val="toc 1"/>
    <w:basedOn w:val="Standard"/>
    <w:next w:val="Standard"/>
    <w:autoRedefine/>
    <w:uiPriority w:val="39"/>
    <w:unhideWhenUsed/>
    <w:rsid w:val="00D72126"/>
    <w:pPr>
      <w:tabs>
        <w:tab w:val="left" w:pos="440"/>
        <w:tab w:val="left" w:pos="1123"/>
        <w:tab w:val="right" w:leader="dot" w:pos="9854"/>
        <w:tab w:val="right" w:leader="dot" w:pos="10536"/>
      </w:tabs>
      <w:spacing w:after="100" w:line="240" w:lineRule="auto"/>
      <w:ind w:right="680"/>
    </w:pPr>
  </w:style>
  <w:style w:type="paragraph" w:styleId="Verzeichnis2">
    <w:name w:val="toc 2"/>
    <w:basedOn w:val="Standard"/>
    <w:next w:val="Standard"/>
    <w:autoRedefine/>
    <w:uiPriority w:val="39"/>
    <w:unhideWhenUsed/>
    <w:rsid w:val="00575A2D"/>
    <w:pPr>
      <w:tabs>
        <w:tab w:val="left" w:pos="1560"/>
        <w:tab w:val="right" w:leader="dot" w:pos="9854"/>
      </w:tabs>
      <w:spacing w:after="100"/>
      <w:ind w:left="1560" w:right="907" w:hanging="658"/>
    </w:pPr>
  </w:style>
  <w:style w:type="paragraph" w:styleId="Verzeichnis3">
    <w:name w:val="toc 3"/>
    <w:basedOn w:val="Standard"/>
    <w:next w:val="Standard"/>
    <w:autoRedefine/>
    <w:uiPriority w:val="39"/>
    <w:unhideWhenUsed/>
    <w:rsid w:val="000D1722"/>
    <w:pPr>
      <w:tabs>
        <w:tab w:val="left" w:pos="2002"/>
        <w:tab w:val="right" w:leader="dot" w:pos="9854"/>
      </w:tabs>
      <w:spacing w:after="100"/>
      <w:ind w:left="1123"/>
    </w:pPr>
  </w:style>
  <w:style w:type="character" w:styleId="Hyperlink">
    <w:name w:val="Hyperlink"/>
    <w:basedOn w:val="Absatz-Standardschriftart"/>
    <w:uiPriority w:val="99"/>
    <w:unhideWhenUsed/>
    <w:rsid w:val="002075F1"/>
    <w:rPr>
      <w:color w:val="0000FF"/>
      <w:u w:val="single"/>
    </w:rPr>
  </w:style>
  <w:style w:type="paragraph" w:customStyle="1" w:styleId="Tabellentitel">
    <w:name w:val="Tabellentitel"/>
    <w:basedOn w:val="Standard"/>
    <w:uiPriority w:val="4"/>
    <w:qFormat/>
    <w:rsid w:val="00197547"/>
    <w:rPr>
      <w:b/>
    </w:rPr>
  </w:style>
  <w:style w:type="paragraph" w:styleId="Beschriftung">
    <w:name w:val="caption"/>
    <w:basedOn w:val="Standard"/>
    <w:next w:val="Standard"/>
    <w:link w:val="BeschriftungZchn"/>
    <w:qFormat/>
    <w:rsid w:val="002A31B0"/>
    <w:pPr>
      <w:spacing w:before="240" w:after="240" w:line="240" w:lineRule="auto"/>
      <w:jc w:val="center"/>
    </w:pPr>
    <w:rPr>
      <w:rFonts w:ascii="Times New Roman" w:eastAsia="Times New Roman" w:hAnsi="Times New Roman" w:cs="Times New Roman"/>
      <w:bCs/>
      <w:i/>
      <w:sz w:val="20"/>
      <w:szCs w:val="20"/>
      <w:lang w:eastAsia="de-DE"/>
    </w:rPr>
  </w:style>
  <w:style w:type="character" w:customStyle="1" w:styleId="BeschriftungZchn">
    <w:name w:val="Beschriftung Zchn"/>
    <w:link w:val="Beschriftung"/>
    <w:locked/>
    <w:rsid w:val="002A31B0"/>
    <w:rPr>
      <w:rFonts w:ascii="Times New Roman" w:eastAsia="Times New Roman" w:hAnsi="Times New Roman" w:cs="Times New Roman"/>
      <w:bCs/>
      <w:i/>
      <w:sz w:val="20"/>
      <w:szCs w:val="20"/>
      <w:lang w:eastAsia="de-DE"/>
    </w:rPr>
  </w:style>
  <w:style w:type="paragraph" w:customStyle="1" w:styleId="Beschriftung2">
    <w:name w:val="Beschriftung 2"/>
    <w:basedOn w:val="Beschriftung"/>
    <w:qFormat/>
    <w:rsid w:val="002A31B0"/>
    <w:pPr>
      <w:framePr w:w="8908" w:hSpace="142" w:wrap="notBeside" w:vAnchor="text" w:hAnchor="page" w:x="1481" w:y="1" w:anchorLock="1"/>
      <w:spacing w:before="120"/>
      <w:ind w:left="709"/>
    </w:pPr>
  </w:style>
  <w:style w:type="character" w:customStyle="1" w:styleId="NummerierteAufzhlungZchn">
    <w:name w:val="Nummerierte Aufzählung Zchn"/>
    <w:basedOn w:val="Absatz-Standardschriftart"/>
    <w:link w:val="NummerierteAufzhlung"/>
    <w:uiPriority w:val="99"/>
    <w:rsid w:val="00463480"/>
    <w:rPr>
      <w:sz w:val="22"/>
      <w:szCs w:val="22"/>
      <w:lang w:val="de-CH" w:eastAsia="en-US" w:bidi="ar-SA"/>
    </w:rPr>
  </w:style>
  <w:style w:type="paragraph" w:styleId="Aufzhlungszeichen">
    <w:name w:val="List Bullet"/>
    <w:basedOn w:val="Standard"/>
    <w:uiPriority w:val="99"/>
    <w:semiHidden/>
    <w:unhideWhenUsed/>
    <w:rsid w:val="009A2440"/>
    <w:pPr>
      <w:numPr>
        <w:numId w:val="2"/>
      </w:numPr>
      <w:contextualSpacing/>
    </w:pPr>
  </w:style>
  <w:style w:type="paragraph" w:styleId="Aufzhlungszeichen2">
    <w:name w:val="List Bullet 2"/>
    <w:basedOn w:val="Standard"/>
    <w:uiPriority w:val="99"/>
    <w:semiHidden/>
    <w:unhideWhenUsed/>
    <w:rsid w:val="009A2440"/>
    <w:pPr>
      <w:numPr>
        <w:numId w:val="3"/>
      </w:numPr>
      <w:contextualSpacing/>
    </w:pPr>
  </w:style>
  <w:style w:type="paragraph" w:customStyle="1" w:styleId="AuflistungHilfestellung">
    <w:name w:val="Auflistung Hilfestellung"/>
    <w:basedOn w:val="AuflistungmitCheckbox"/>
    <w:uiPriority w:val="99"/>
    <w:qFormat/>
    <w:rsid w:val="00D72126"/>
    <w:pPr>
      <w:numPr>
        <w:numId w:val="7"/>
      </w:numPr>
      <w:spacing w:line="240" w:lineRule="auto"/>
    </w:pPr>
    <w:rPr>
      <w:rFonts w:cs="Arial"/>
    </w:rPr>
  </w:style>
  <w:style w:type="character" w:styleId="BesuchterHyperlink">
    <w:name w:val="FollowedHyperlink"/>
    <w:basedOn w:val="Absatz-Standardschriftart"/>
    <w:uiPriority w:val="99"/>
    <w:semiHidden/>
    <w:unhideWhenUsed/>
    <w:rsid w:val="00031AD1"/>
    <w:rPr>
      <w:color w:val="800080"/>
      <w:u w:val="single"/>
    </w:rPr>
  </w:style>
  <w:style w:type="paragraph" w:styleId="Abbildungsverzeichnis">
    <w:name w:val="table of figures"/>
    <w:basedOn w:val="Standard"/>
    <w:next w:val="Standard"/>
    <w:autoRedefine/>
    <w:uiPriority w:val="99"/>
    <w:unhideWhenUsed/>
    <w:rsid w:val="00360A9F"/>
    <w:pPr>
      <w:tabs>
        <w:tab w:val="left" w:leader="dot" w:pos="9854"/>
      </w:tabs>
      <w:spacing w:after="0"/>
      <w:ind w:left="1985" w:hanging="1305"/>
    </w:pPr>
  </w:style>
  <w:style w:type="paragraph" w:customStyle="1" w:styleId="AuflistungmitHaken">
    <w:name w:val="Auflistung mit Haken"/>
    <w:basedOn w:val="Standard"/>
    <w:rsid w:val="0015713E"/>
    <w:pPr>
      <w:numPr>
        <w:numId w:val="8"/>
      </w:numPr>
    </w:pPr>
  </w:style>
  <w:style w:type="character" w:styleId="Kommentarzeichen">
    <w:name w:val="annotation reference"/>
    <w:basedOn w:val="Absatz-Standardschriftart"/>
    <w:uiPriority w:val="99"/>
    <w:unhideWhenUsed/>
    <w:rsid w:val="009172B3"/>
    <w:rPr>
      <w:sz w:val="16"/>
      <w:szCs w:val="16"/>
    </w:rPr>
  </w:style>
  <w:style w:type="paragraph" w:styleId="Kommentartext">
    <w:name w:val="annotation text"/>
    <w:basedOn w:val="Standard"/>
    <w:link w:val="KommentartextZchn"/>
    <w:uiPriority w:val="99"/>
    <w:unhideWhenUsed/>
    <w:rsid w:val="009172B3"/>
    <w:pPr>
      <w:spacing w:line="240" w:lineRule="auto"/>
    </w:pPr>
    <w:rPr>
      <w:sz w:val="20"/>
      <w:szCs w:val="20"/>
    </w:rPr>
  </w:style>
  <w:style w:type="character" w:customStyle="1" w:styleId="KommentartextZchn">
    <w:name w:val="Kommentartext Zchn"/>
    <w:basedOn w:val="Absatz-Standardschriftart"/>
    <w:link w:val="Kommentartext"/>
    <w:uiPriority w:val="99"/>
    <w:rsid w:val="009172B3"/>
    <w:rPr>
      <w:sz w:val="20"/>
      <w:szCs w:val="20"/>
    </w:rPr>
  </w:style>
  <w:style w:type="paragraph" w:styleId="Kommentarthema">
    <w:name w:val="annotation subject"/>
    <w:basedOn w:val="Kommentartext"/>
    <w:next w:val="Kommentartext"/>
    <w:link w:val="KommentarthemaZchn"/>
    <w:uiPriority w:val="99"/>
    <w:semiHidden/>
    <w:unhideWhenUsed/>
    <w:rsid w:val="009172B3"/>
    <w:rPr>
      <w:b/>
      <w:bCs/>
    </w:rPr>
  </w:style>
  <w:style w:type="character" w:customStyle="1" w:styleId="KommentarthemaZchn">
    <w:name w:val="Kommentarthema Zchn"/>
    <w:basedOn w:val="KommentartextZchn"/>
    <w:link w:val="Kommentarthema"/>
    <w:uiPriority w:val="99"/>
    <w:semiHidden/>
    <w:rsid w:val="009172B3"/>
    <w:rPr>
      <w:b/>
      <w:bCs/>
      <w:sz w:val="20"/>
      <w:szCs w:val="20"/>
    </w:rPr>
  </w:style>
  <w:style w:type="character" w:styleId="Platzhaltertext">
    <w:name w:val="Placeholder Text"/>
    <w:basedOn w:val="Absatz-Standardschriftart"/>
    <w:uiPriority w:val="99"/>
    <w:semiHidden/>
    <w:rsid w:val="009316A0"/>
    <w:rPr>
      <w:color w:val="808080"/>
    </w:rPr>
  </w:style>
  <w:style w:type="character" w:customStyle="1" w:styleId="Tiefgestellt">
    <w:name w:val="Tiefgestellt"/>
    <w:basedOn w:val="Absatz-Standardschriftart"/>
    <w:uiPriority w:val="22"/>
    <w:rsid w:val="00DB6A47"/>
    <w:rPr>
      <w:color w:val="000000"/>
      <w:vertAlign w:val="subscript"/>
    </w:rPr>
  </w:style>
  <w:style w:type="paragraph" w:customStyle="1" w:styleId="43PfeileinzugAltD">
    <w:name w:val="43: Pfeileinzug (Alt+D)"/>
    <w:basedOn w:val="Standard"/>
    <w:qFormat/>
    <w:rsid w:val="00A221E6"/>
    <w:pPr>
      <w:numPr>
        <w:numId w:val="9"/>
      </w:numPr>
      <w:suppressLineNumbers/>
      <w:spacing w:after="260" w:line="260" w:lineRule="exact"/>
      <w:contextualSpacing/>
      <w:jc w:val="both"/>
    </w:pPr>
    <w:rPr>
      <w:rFonts w:ascii="Times New Roman" w:eastAsia="Batang" w:hAnsi="Times New Roman" w:cs="Times New Roman"/>
      <w:snapToGrid w:val="0"/>
      <w:color w:val="000000"/>
      <w:sz w:val="21"/>
      <w:lang w:eastAsia="de-CH"/>
    </w:rPr>
  </w:style>
  <w:style w:type="paragraph" w:customStyle="1" w:styleId="40TextkrperAltX">
    <w:name w:val="40: Textkörper (Alt+X)"/>
    <w:basedOn w:val="Standard"/>
    <w:link w:val="40TextkrperAltXZchn"/>
    <w:qFormat/>
    <w:rsid w:val="00D0355A"/>
    <w:pPr>
      <w:suppressLineNumbers/>
      <w:spacing w:after="260" w:line="260" w:lineRule="exact"/>
      <w:jc w:val="both"/>
    </w:pPr>
    <w:rPr>
      <w:rFonts w:ascii="Times New Roman" w:eastAsia="Batang" w:hAnsi="Times New Roman" w:cs="Times New Roman"/>
      <w:snapToGrid w:val="0"/>
      <w:color w:val="000000"/>
      <w:sz w:val="21"/>
      <w:lang w:eastAsia="de-CH"/>
    </w:rPr>
  </w:style>
  <w:style w:type="character" w:customStyle="1" w:styleId="40TextkrperAltXZchn">
    <w:name w:val="40: Textkörper (Alt+X) Zchn"/>
    <w:basedOn w:val="Absatz-Standardschriftart"/>
    <w:link w:val="40TextkrperAltX"/>
    <w:rsid w:val="00D0355A"/>
    <w:rPr>
      <w:rFonts w:ascii="Times New Roman" w:eastAsia="Batang" w:hAnsi="Times New Roman" w:cs="Times New Roman"/>
      <w:snapToGrid w:val="0"/>
      <w:color w:val="000000"/>
      <w:sz w:val="21"/>
      <w:lang w:eastAsia="de-CH"/>
    </w:rPr>
  </w:style>
  <w:style w:type="paragraph" w:customStyle="1" w:styleId="01ImpressumText">
    <w:name w:val="01: Impressum Text"/>
    <w:basedOn w:val="Standard"/>
    <w:next w:val="Standard"/>
    <w:link w:val="01ImpressumTextZchn"/>
    <w:rsid w:val="00773E67"/>
    <w:pPr>
      <w:keepLines/>
      <w:suppressAutoHyphens/>
      <w:spacing w:after="220" w:line="220" w:lineRule="exact"/>
    </w:pPr>
    <w:rPr>
      <w:rFonts w:ascii="Arial Narrow" w:eastAsia="Batang" w:hAnsi="Arial Narrow" w:cs="Times New Roman"/>
      <w:noProof/>
      <w:snapToGrid w:val="0"/>
      <w:color w:val="000000"/>
      <w:spacing w:val="4"/>
      <w:sz w:val="17"/>
      <w:szCs w:val="17"/>
      <w:lang w:eastAsia="de-CH"/>
    </w:rPr>
  </w:style>
  <w:style w:type="character" w:customStyle="1" w:styleId="01ImpressumTextZchn">
    <w:name w:val="01: Impressum Text Zchn"/>
    <w:basedOn w:val="Absatz-Standardschriftart"/>
    <w:link w:val="01ImpressumText"/>
    <w:rsid w:val="00773E67"/>
    <w:rPr>
      <w:rFonts w:ascii="Arial Narrow" w:eastAsia="Batang" w:hAnsi="Arial Narrow" w:cs="Times New Roman"/>
      <w:noProof/>
      <w:snapToGrid w:val="0"/>
      <w:color w:val="000000"/>
      <w:spacing w:val="4"/>
      <w:sz w:val="17"/>
      <w:szCs w:val="17"/>
      <w:lang w:eastAsia="de-CH"/>
    </w:rPr>
  </w:style>
  <w:style w:type="table" w:customStyle="1" w:styleId="Tabellengitternetz1">
    <w:name w:val="Tabellengitternetz1"/>
    <w:basedOn w:val="NormaleTabelle"/>
    <w:next w:val="Tabellenraster"/>
    <w:rsid w:val="00630446"/>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ListWithNumbers">
    <w:name w:val="ListWithNumbers"/>
    <w:basedOn w:val="Standard"/>
    <w:rsid w:val="00630446"/>
    <w:pPr>
      <w:numPr>
        <w:numId w:val="10"/>
      </w:numPr>
      <w:spacing w:before="240" w:after="0" w:line="240" w:lineRule="atLeast"/>
      <w:ind w:right="680"/>
    </w:pPr>
    <w:rPr>
      <w:rFonts w:eastAsia="Times New Roman" w:cs="Times New Roman"/>
      <w:sz w:val="20"/>
      <w:szCs w:val="24"/>
      <w:lang w:eastAsia="de-DE"/>
    </w:rPr>
  </w:style>
  <w:style w:type="paragraph" w:customStyle="1" w:styleId="ListWithSymbols">
    <w:name w:val="ListWithSymbols"/>
    <w:basedOn w:val="Standard"/>
    <w:rsid w:val="00630446"/>
    <w:pPr>
      <w:numPr>
        <w:numId w:val="11"/>
      </w:numPr>
      <w:spacing w:before="240" w:after="0" w:line="240" w:lineRule="atLeast"/>
      <w:ind w:right="680"/>
    </w:pPr>
    <w:rPr>
      <w:rFonts w:eastAsia="Times New Roman" w:cs="Times New Roman"/>
      <w:sz w:val="20"/>
      <w:szCs w:val="24"/>
      <w:lang w:eastAsia="de-DE"/>
    </w:rPr>
  </w:style>
  <w:style w:type="paragraph" w:customStyle="1" w:styleId="Punkt1">
    <w:name w:val="_Punkt1"/>
    <w:basedOn w:val="Standard"/>
    <w:rsid w:val="00630446"/>
    <w:pPr>
      <w:numPr>
        <w:numId w:val="12"/>
      </w:numPr>
      <w:tabs>
        <w:tab w:val="left" w:pos="1134"/>
      </w:tabs>
      <w:spacing w:before="240" w:after="240" w:line="240" w:lineRule="atLeast"/>
      <w:ind w:left="964" w:right="680" w:hanging="284"/>
    </w:pPr>
    <w:rPr>
      <w:rFonts w:eastAsia="Times New Roman" w:cs="Times New Roman"/>
      <w:sz w:val="20"/>
      <w:szCs w:val="24"/>
      <w:lang w:eastAsia="de-DE"/>
    </w:rPr>
  </w:style>
  <w:style w:type="paragraph" w:customStyle="1" w:styleId="KopfzeileP1">
    <w:name w:val="Kopfzeile P1"/>
    <w:basedOn w:val="Standard"/>
    <w:qFormat/>
    <w:rsid w:val="00630446"/>
    <w:pPr>
      <w:spacing w:after="0" w:line="200" w:lineRule="atLeast"/>
      <w:ind w:left="28" w:right="57"/>
      <w:jc w:val="right"/>
    </w:pPr>
    <w:rPr>
      <w:rFonts w:eastAsia="Times New Roman" w:cs="Times New Roman"/>
      <w:noProof/>
      <w:sz w:val="18"/>
      <w:szCs w:val="24"/>
      <w:lang w:eastAsia="de-DE"/>
    </w:rPr>
  </w:style>
  <w:style w:type="paragraph" w:customStyle="1" w:styleId="KopfzeilePungerade">
    <w:name w:val="Kopfzeile Pungerade"/>
    <w:basedOn w:val="Standard"/>
    <w:qFormat/>
    <w:rsid w:val="00630446"/>
    <w:pPr>
      <w:spacing w:after="0" w:line="240" w:lineRule="auto"/>
    </w:pPr>
    <w:rPr>
      <w:rFonts w:eastAsia="Times New Roman" w:cs="Times New Roman"/>
      <w:noProof/>
      <w:sz w:val="18"/>
      <w:szCs w:val="24"/>
      <w:lang w:eastAsia="de-DE"/>
    </w:rPr>
  </w:style>
  <w:style w:type="paragraph" w:customStyle="1" w:styleId="FusszeileP1">
    <w:name w:val="Fusszeile P1"/>
    <w:basedOn w:val="Fuzeile"/>
    <w:qFormat/>
    <w:rsid w:val="00630446"/>
    <w:pPr>
      <w:tabs>
        <w:tab w:val="clear" w:pos="4536"/>
        <w:tab w:val="clear" w:pos="9072"/>
        <w:tab w:val="center" w:pos="4320"/>
        <w:tab w:val="right" w:pos="8640"/>
      </w:tabs>
      <w:ind w:right="680"/>
    </w:pPr>
    <w:rPr>
      <w:rFonts w:eastAsia="Times New Roman" w:cs="Times New Roman"/>
      <w:sz w:val="20"/>
      <w:szCs w:val="24"/>
      <w:lang w:val="fr-CH" w:eastAsia="de-DE"/>
    </w:rPr>
  </w:style>
  <w:style w:type="table" w:customStyle="1" w:styleId="Tabellengitternetz2">
    <w:name w:val="Tabellengitternetz2"/>
    <w:basedOn w:val="NormaleTabelle"/>
    <w:next w:val="Tabellenraster"/>
    <w:rsid w:val="006F65F9"/>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Titel">
    <w:name w:val="Title"/>
    <w:basedOn w:val="Standard"/>
    <w:next w:val="Standard"/>
    <w:link w:val="TitelZchn"/>
    <w:qFormat/>
    <w:rsid w:val="006F65F9"/>
    <w:pPr>
      <w:keepNext/>
      <w:keepLines/>
      <w:spacing w:after="0" w:line="600" w:lineRule="atLeast"/>
      <w:ind w:right="28"/>
      <w:jc w:val="right"/>
    </w:pPr>
    <w:rPr>
      <w:rFonts w:eastAsia="Times New Roman"/>
      <w:b/>
      <w:bCs/>
      <w:sz w:val="56"/>
      <w:szCs w:val="32"/>
      <w:lang w:eastAsia="de-DE"/>
    </w:rPr>
  </w:style>
  <w:style w:type="character" w:customStyle="1" w:styleId="TitelZchn">
    <w:name w:val="Titel Zchn"/>
    <w:basedOn w:val="Absatz-Standardschriftart"/>
    <w:link w:val="Titel"/>
    <w:rsid w:val="006F65F9"/>
    <w:rPr>
      <w:rFonts w:eastAsia="Times New Roman" w:cs="Arial"/>
      <w:b/>
      <w:bCs/>
      <w:sz w:val="56"/>
      <w:szCs w:val="32"/>
      <w:lang w:eastAsia="de-DE"/>
    </w:rPr>
  </w:style>
  <w:style w:type="paragraph" w:customStyle="1" w:styleId="Subject">
    <w:name w:val="Subject"/>
    <w:basedOn w:val="Standard"/>
    <w:rsid w:val="006F65F9"/>
    <w:pPr>
      <w:spacing w:after="0" w:line="280" w:lineRule="exact"/>
      <w:ind w:right="28"/>
      <w:jc w:val="right"/>
    </w:pPr>
    <w:rPr>
      <w:rFonts w:eastAsia="Times New Roman" w:cs="Times New Roman"/>
      <w:b/>
      <w:sz w:val="24"/>
      <w:szCs w:val="24"/>
      <w:lang w:eastAsia="de-DE"/>
    </w:rPr>
  </w:style>
  <w:style w:type="paragraph" w:styleId="Untertitel">
    <w:name w:val="Subtitle"/>
    <w:basedOn w:val="Standard"/>
    <w:next w:val="Standard"/>
    <w:link w:val="UntertitelZchn"/>
    <w:qFormat/>
    <w:rsid w:val="006F65F9"/>
    <w:pPr>
      <w:keepNext/>
      <w:keepLines/>
      <w:spacing w:after="0" w:line="600" w:lineRule="atLeast"/>
      <w:ind w:right="28"/>
      <w:jc w:val="right"/>
    </w:pPr>
    <w:rPr>
      <w:rFonts w:eastAsia="Times New Roman"/>
      <w:sz w:val="56"/>
      <w:szCs w:val="24"/>
      <w:lang w:eastAsia="de-DE"/>
    </w:rPr>
  </w:style>
  <w:style w:type="character" w:customStyle="1" w:styleId="UntertitelZchn">
    <w:name w:val="Untertitel Zchn"/>
    <w:basedOn w:val="Absatz-Standardschriftart"/>
    <w:link w:val="Untertitel"/>
    <w:rsid w:val="006F65F9"/>
    <w:rPr>
      <w:rFonts w:eastAsia="Times New Roman" w:cs="Arial"/>
      <w:sz w:val="56"/>
      <w:szCs w:val="24"/>
      <w:lang w:eastAsia="de-DE"/>
    </w:rPr>
  </w:style>
  <w:style w:type="paragraph" w:styleId="Datum">
    <w:name w:val="Date"/>
    <w:basedOn w:val="Standard"/>
    <w:next w:val="Standard"/>
    <w:link w:val="DatumZchn"/>
    <w:rsid w:val="006F65F9"/>
    <w:pPr>
      <w:spacing w:after="280" w:line="240" w:lineRule="atLeast"/>
      <w:ind w:right="28"/>
      <w:jc w:val="right"/>
    </w:pPr>
    <w:rPr>
      <w:rFonts w:eastAsia="Times New Roman" w:cs="Times New Roman"/>
      <w:b/>
      <w:sz w:val="24"/>
      <w:szCs w:val="24"/>
      <w:lang w:eastAsia="de-DE"/>
    </w:rPr>
  </w:style>
  <w:style w:type="character" w:customStyle="1" w:styleId="DatumZchn">
    <w:name w:val="Datum Zchn"/>
    <w:basedOn w:val="Absatz-Standardschriftart"/>
    <w:link w:val="Datum"/>
    <w:rsid w:val="006F65F9"/>
    <w:rPr>
      <w:rFonts w:eastAsia="Times New Roman" w:cs="Times New Roman"/>
      <w:b/>
      <w:sz w:val="24"/>
      <w:szCs w:val="24"/>
      <w:lang w:eastAsia="de-DE"/>
    </w:rPr>
  </w:style>
  <w:style w:type="paragraph" w:customStyle="1" w:styleId="FormatvorlageAbbildungsverzeichnisLinks12cmRechts-12cm">
    <w:name w:val="Formatvorlage Abbildungsverzeichnis + Links:  1.2 cm Rechts:  -1.2 cm"/>
    <w:basedOn w:val="Abbildungsverzeichnis"/>
    <w:rsid w:val="000D1722"/>
    <w:rPr>
      <w:rFonts w:eastAsia="Times New Roman" w:cs="Times New Roman"/>
      <w:szCs w:val="20"/>
    </w:rPr>
  </w:style>
  <w:style w:type="paragraph" w:customStyle="1" w:styleId="FormatvorlageAbbildungsverzeichnisLinks12cmRechts-12cm1">
    <w:name w:val="Formatvorlage Abbildungsverzeichnis + Links:  1.2 cm Rechts:  -1.2 cm1"/>
    <w:basedOn w:val="Abbildungsverzeichnis"/>
    <w:rsid w:val="000D1722"/>
    <w:rPr>
      <w:rFonts w:eastAsia="Times New Roman" w:cs="Times New Roman"/>
      <w:szCs w:val="20"/>
    </w:rPr>
  </w:style>
  <w:style w:type="paragraph" w:customStyle="1" w:styleId="FormatvorlageAbbildungsverzeichnisLinks12cmRechts-12cm2">
    <w:name w:val="Formatvorlage Abbildungsverzeichnis + Links:  1.2 cm Rechts:  -1.2 cm2"/>
    <w:basedOn w:val="Abbildungsverzeichnis"/>
    <w:autoRedefine/>
    <w:rsid w:val="00764633"/>
    <w:pPr>
      <w:ind w:right="-680"/>
    </w:pPr>
    <w:rPr>
      <w:rFonts w:eastAsia="Times New Roman" w:cs="Times New Roman"/>
      <w:szCs w:val="20"/>
    </w:rPr>
  </w:style>
  <w:style w:type="character" w:customStyle="1" w:styleId="DeltaViewInsertion">
    <w:name w:val="DeltaView Insertion"/>
    <w:uiPriority w:val="99"/>
    <w:rsid w:val="00595461"/>
    <w:rPr>
      <w:color w:val="0000FF"/>
      <w:u w:val="double"/>
    </w:rPr>
  </w:style>
  <w:style w:type="character" w:customStyle="1" w:styleId="DeltaViewMoveDestination">
    <w:name w:val="DeltaView Move Destination"/>
    <w:uiPriority w:val="99"/>
    <w:rsid w:val="00595461"/>
    <w:rPr>
      <w:color w:val="00C000"/>
      <w:u w:val="double"/>
    </w:rPr>
  </w:style>
  <w:style w:type="paragraph" w:styleId="berarbeitung">
    <w:name w:val="Revision"/>
    <w:hidden/>
    <w:uiPriority w:val="99"/>
    <w:semiHidden/>
    <w:rsid w:val="00C105EB"/>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8442">
      <w:bodyDiv w:val="1"/>
      <w:marLeft w:val="0"/>
      <w:marRight w:val="0"/>
      <w:marTop w:val="0"/>
      <w:marBottom w:val="0"/>
      <w:divBdr>
        <w:top w:val="none" w:sz="0" w:space="0" w:color="auto"/>
        <w:left w:val="none" w:sz="0" w:space="0" w:color="auto"/>
        <w:bottom w:val="none" w:sz="0" w:space="0" w:color="auto"/>
        <w:right w:val="none" w:sz="0" w:space="0" w:color="auto"/>
      </w:divBdr>
    </w:div>
    <w:div w:id="174002610">
      <w:bodyDiv w:val="1"/>
      <w:marLeft w:val="0"/>
      <w:marRight w:val="0"/>
      <w:marTop w:val="0"/>
      <w:marBottom w:val="0"/>
      <w:divBdr>
        <w:top w:val="none" w:sz="0" w:space="0" w:color="auto"/>
        <w:left w:val="none" w:sz="0" w:space="0" w:color="auto"/>
        <w:bottom w:val="none" w:sz="0" w:space="0" w:color="auto"/>
        <w:right w:val="none" w:sz="0" w:space="0" w:color="auto"/>
      </w:divBdr>
    </w:div>
    <w:div w:id="192420165">
      <w:bodyDiv w:val="1"/>
      <w:marLeft w:val="0"/>
      <w:marRight w:val="0"/>
      <w:marTop w:val="0"/>
      <w:marBottom w:val="0"/>
      <w:divBdr>
        <w:top w:val="none" w:sz="0" w:space="0" w:color="auto"/>
        <w:left w:val="none" w:sz="0" w:space="0" w:color="auto"/>
        <w:bottom w:val="none" w:sz="0" w:space="0" w:color="auto"/>
        <w:right w:val="none" w:sz="0" w:space="0" w:color="auto"/>
      </w:divBdr>
    </w:div>
    <w:div w:id="294140297">
      <w:bodyDiv w:val="1"/>
      <w:marLeft w:val="0"/>
      <w:marRight w:val="0"/>
      <w:marTop w:val="0"/>
      <w:marBottom w:val="0"/>
      <w:divBdr>
        <w:top w:val="none" w:sz="0" w:space="0" w:color="auto"/>
        <w:left w:val="none" w:sz="0" w:space="0" w:color="auto"/>
        <w:bottom w:val="none" w:sz="0" w:space="0" w:color="auto"/>
        <w:right w:val="none" w:sz="0" w:space="0" w:color="auto"/>
      </w:divBdr>
    </w:div>
    <w:div w:id="335351726">
      <w:bodyDiv w:val="1"/>
      <w:marLeft w:val="0"/>
      <w:marRight w:val="0"/>
      <w:marTop w:val="0"/>
      <w:marBottom w:val="0"/>
      <w:divBdr>
        <w:top w:val="none" w:sz="0" w:space="0" w:color="auto"/>
        <w:left w:val="none" w:sz="0" w:space="0" w:color="auto"/>
        <w:bottom w:val="none" w:sz="0" w:space="0" w:color="auto"/>
        <w:right w:val="none" w:sz="0" w:space="0" w:color="auto"/>
      </w:divBdr>
    </w:div>
    <w:div w:id="347223078">
      <w:bodyDiv w:val="1"/>
      <w:marLeft w:val="0"/>
      <w:marRight w:val="0"/>
      <w:marTop w:val="0"/>
      <w:marBottom w:val="0"/>
      <w:divBdr>
        <w:top w:val="none" w:sz="0" w:space="0" w:color="auto"/>
        <w:left w:val="none" w:sz="0" w:space="0" w:color="auto"/>
        <w:bottom w:val="none" w:sz="0" w:space="0" w:color="auto"/>
        <w:right w:val="none" w:sz="0" w:space="0" w:color="auto"/>
      </w:divBdr>
    </w:div>
    <w:div w:id="358046852">
      <w:bodyDiv w:val="1"/>
      <w:marLeft w:val="0"/>
      <w:marRight w:val="0"/>
      <w:marTop w:val="0"/>
      <w:marBottom w:val="0"/>
      <w:divBdr>
        <w:top w:val="none" w:sz="0" w:space="0" w:color="auto"/>
        <w:left w:val="none" w:sz="0" w:space="0" w:color="auto"/>
        <w:bottom w:val="none" w:sz="0" w:space="0" w:color="auto"/>
        <w:right w:val="none" w:sz="0" w:space="0" w:color="auto"/>
      </w:divBdr>
    </w:div>
    <w:div w:id="385186179">
      <w:bodyDiv w:val="1"/>
      <w:marLeft w:val="0"/>
      <w:marRight w:val="0"/>
      <w:marTop w:val="0"/>
      <w:marBottom w:val="0"/>
      <w:divBdr>
        <w:top w:val="none" w:sz="0" w:space="0" w:color="auto"/>
        <w:left w:val="none" w:sz="0" w:space="0" w:color="auto"/>
        <w:bottom w:val="none" w:sz="0" w:space="0" w:color="auto"/>
        <w:right w:val="none" w:sz="0" w:space="0" w:color="auto"/>
      </w:divBdr>
    </w:div>
    <w:div w:id="391004431">
      <w:bodyDiv w:val="1"/>
      <w:marLeft w:val="0"/>
      <w:marRight w:val="0"/>
      <w:marTop w:val="0"/>
      <w:marBottom w:val="0"/>
      <w:divBdr>
        <w:top w:val="none" w:sz="0" w:space="0" w:color="auto"/>
        <w:left w:val="none" w:sz="0" w:space="0" w:color="auto"/>
        <w:bottom w:val="none" w:sz="0" w:space="0" w:color="auto"/>
        <w:right w:val="none" w:sz="0" w:space="0" w:color="auto"/>
      </w:divBdr>
    </w:div>
    <w:div w:id="461576109">
      <w:bodyDiv w:val="1"/>
      <w:marLeft w:val="0"/>
      <w:marRight w:val="0"/>
      <w:marTop w:val="0"/>
      <w:marBottom w:val="0"/>
      <w:divBdr>
        <w:top w:val="none" w:sz="0" w:space="0" w:color="auto"/>
        <w:left w:val="none" w:sz="0" w:space="0" w:color="auto"/>
        <w:bottom w:val="none" w:sz="0" w:space="0" w:color="auto"/>
        <w:right w:val="none" w:sz="0" w:space="0" w:color="auto"/>
      </w:divBdr>
    </w:div>
    <w:div w:id="486092367">
      <w:bodyDiv w:val="1"/>
      <w:marLeft w:val="0"/>
      <w:marRight w:val="0"/>
      <w:marTop w:val="0"/>
      <w:marBottom w:val="0"/>
      <w:divBdr>
        <w:top w:val="none" w:sz="0" w:space="0" w:color="auto"/>
        <w:left w:val="none" w:sz="0" w:space="0" w:color="auto"/>
        <w:bottom w:val="none" w:sz="0" w:space="0" w:color="auto"/>
        <w:right w:val="none" w:sz="0" w:space="0" w:color="auto"/>
      </w:divBdr>
    </w:div>
    <w:div w:id="584455262">
      <w:bodyDiv w:val="1"/>
      <w:marLeft w:val="0"/>
      <w:marRight w:val="0"/>
      <w:marTop w:val="0"/>
      <w:marBottom w:val="0"/>
      <w:divBdr>
        <w:top w:val="none" w:sz="0" w:space="0" w:color="auto"/>
        <w:left w:val="none" w:sz="0" w:space="0" w:color="auto"/>
        <w:bottom w:val="none" w:sz="0" w:space="0" w:color="auto"/>
        <w:right w:val="none" w:sz="0" w:space="0" w:color="auto"/>
      </w:divBdr>
    </w:div>
    <w:div w:id="586571550">
      <w:bodyDiv w:val="1"/>
      <w:marLeft w:val="0"/>
      <w:marRight w:val="0"/>
      <w:marTop w:val="0"/>
      <w:marBottom w:val="0"/>
      <w:divBdr>
        <w:top w:val="none" w:sz="0" w:space="0" w:color="auto"/>
        <w:left w:val="none" w:sz="0" w:space="0" w:color="auto"/>
        <w:bottom w:val="none" w:sz="0" w:space="0" w:color="auto"/>
        <w:right w:val="none" w:sz="0" w:space="0" w:color="auto"/>
      </w:divBdr>
    </w:div>
    <w:div w:id="840199053">
      <w:bodyDiv w:val="1"/>
      <w:marLeft w:val="0"/>
      <w:marRight w:val="0"/>
      <w:marTop w:val="0"/>
      <w:marBottom w:val="0"/>
      <w:divBdr>
        <w:top w:val="none" w:sz="0" w:space="0" w:color="auto"/>
        <w:left w:val="none" w:sz="0" w:space="0" w:color="auto"/>
        <w:bottom w:val="none" w:sz="0" w:space="0" w:color="auto"/>
        <w:right w:val="none" w:sz="0" w:space="0" w:color="auto"/>
      </w:divBdr>
    </w:div>
    <w:div w:id="880361373">
      <w:bodyDiv w:val="1"/>
      <w:marLeft w:val="0"/>
      <w:marRight w:val="0"/>
      <w:marTop w:val="0"/>
      <w:marBottom w:val="0"/>
      <w:divBdr>
        <w:top w:val="none" w:sz="0" w:space="0" w:color="auto"/>
        <w:left w:val="none" w:sz="0" w:space="0" w:color="auto"/>
        <w:bottom w:val="none" w:sz="0" w:space="0" w:color="auto"/>
        <w:right w:val="none" w:sz="0" w:space="0" w:color="auto"/>
      </w:divBdr>
    </w:div>
    <w:div w:id="946616292">
      <w:bodyDiv w:val="1"/>
      <w:marLeft w:val="0"/>
      <w:marRight w:val="0"/>
      <w:marTop w:val="0"/>
      <w:marBottom w:val="0"/>
      <w:divBdr>
        <w:top w:val="none" w:sz="0" w:space="0" w:color="auto"/>
        <w:left w:val="none" w:sz="0" w:space="0" w:color="auto"/>
        <w:bottom w:val="none" w:sz="0" w:space="0" w:color="auto"/>
        <w:right w:val="none" w:sz="0" w:space="0" w:color="auto"/>
      </w:divBdr>
    </w:div>
    <w:div w:id="1134905767">
      <w:bodyDiv w:val="1"/>
      <w:marLeft w:val="0"/>
      <w:marRight w:val="0"/>
      <w:marTop w:val="0"/>
      <w:marBottom w:val="0"/>
      <w:divBdr>
        <w:top w:val="none" w:sz="0" w:space="0" w:color="auto"/>
        <w:left w:val="none" w:sz="0" w:space="0" w:color="auto"/>
        <w:bottom w:val="none" w:sz="0" w:space="0" w:color="auto"/>
        <w:right w:val="none" w:sz="0" w:space="0" w:color="auto"/>
      </w:divBdr>
    </w:div>
    <w:div w:id="1144202792">
      <w:bodyDiv w:val="1"/>
      <w:marLeft w:val="0"/>
      <w:marRight w:val="0"/>
      <w:marTop w:val="0"/>
      <w:marBottom w:val="0"/>
      <w:divBdr>
        <w:top w:val="none" w:sz="0" w:space="0" w:color="auto"/>
        <w:left w:val="none" w:sz="0" w:space="0" w:color="auto"/>
        <w:bottom w:val="none" w:sz="0" w:space="0" w:color="auto"/>
        <w:right w:val="none" w:sz="0" w:space="0" w:color="auto"/>
      </w:divBdr>
    </w:div>
    <w:div w:id="1190023346">
      <w:bodyDiv w:val="1"/>
      <w:marLeft w:val="0"/>
      <w:marRight w:val="0"/>
      <w:marTop w:val="0"/>
      <w:marBottom w:val="0"/>
      <w:divBdr>
        <w:top w:val="none" w:sz="0" w:space="0" w:color="auto"/>
        <w:left w:val="none" w:sz="0" w:space="0" w:color="auto"/>
        <w:bottom w:val="none" w:sz="0" w:space="0" w:color="auto"/>
        <w:right w:val="none" w:sz="0" w:space="0" w:color="auto"/>
      </w:divBdr>
    </w:div>
    <w:div w:id="1221208904">
      <w:bodyDiv w:val="1"/>
      <w:marLeft w:val="0"/>
      <w:marRight w:val="0"/>
      <w:marTop w:val="0"/>
      <w:marBottom w:val="0"/>
      <w:divBdr>
        <w:top w:val="none" w:sz="0" w:space="0" w:color="auto"/>
        <w:left w:val="none" w:sz="0" w:space="0" w:color="auto"/>
        <w:bottom w:val="none" w:sz="0" w:space="0" w:color="auto"/>
        <w:right w:val="none" w:sz="0" w:space="0" w:color="auto"/>
      </w:divBdr>
    </w:div>
    <w:div w:id="1292370403">
      <w:bodyDiv w:val="1"/>
      <w:marLeft w:val="0"/>
      <w:marRight w:val="0"/>
      <w:marTop w:val="0"/>
      <w:marBottom w:val="0"/>
      <w:divBdr>
        <w:top w:val="none" w:sz="0" w:space="0" w:color="auto"/>
        <w:left w:val="none" w:sz="0" w:space="0" w:color="auto"/>
        <w:bottom w:val="none" w:sz="0" w:space="0" w:color="auto"/>
        <w:right w:val="none" w:sz="0" w:space="0" w:color="auto"/>
      </w:divBdr>
    </w:div>
    <w:div w:id="1303463462">
      <w:bodyDiv w:val="1"/>
      <w:marLeft w:val="0"/>
      <w:marRight w:val="0"/>
      <w:marTop w:val="0"/>
      <w:marBottom w:val="0"/>
      <w:divBdr>
        <w:top w:val="none" w:sz="0" w:space="0" w:color="auto"/>
        <w:left w:val="none" w:sz="0" w:space="0" w:color="auto"/>
        <w:bottom w:val="none" w:sz="0" w:space="0" w:color="auto"/>
        <w:right w:val="none" w:sz="0" w:space="0" w:color="auto"/>
      </w:divBdr>
    </w:div>
    <w:div w:id="1311254860">
      <w:bodyDiv w:val="1"/>
      <w:marLeft w:val="0"/>
      <w:marRight w:val="0"/>
      <w:marTop w:val="0"/>
      <w:marBottom w:val="0"/>
      <w:divBdr>
        <w:top w:val="none" w:sz="0" w:space="0" w:color="auto"/>
        <w:left w:val="none" w:sz="0" w:space="0" w:color="auto"/>
        <w:bottom w:val="none" w:sz="0" w:space="0" w:color="auto"/>
        <w:right w:val="none" w:sz="0" w:space="0" w:color="auto"/>
      </w:divBdr>
    </w:div>
    <w:div w:id="1345013744">
      <w:bodyDiv w:val="1"/>
      <w:marLeft w:val="0"/>
      <w:marRight w:val="0"/>
      <w:marTop w:val="0"/>
      <w:marBottom w:val="0"/>
      <w:divBdr>
        <w:top w:val="none" w:sz="0" w:space="0" w:color="auto"/>
        <w:left w:val="none" w:sz="0" w:space="0" w:color="auto"/>
        <w:bottom w:val="none" w:sz="0" w:space="0" w:color="auto"/>
        <w:right w:val="none" w:sz="0" w:space="0" w:color="auto"/>
      </w:divBdr>
    </w:div>
    <w:div w:id="1402824820">
      <w:bodyDiv w:val="1"/>
      <w:marLeft w:val="0"/>
      <w:marRight w:val="0"/>
      <w:marTop w:val="0"/>
      <w:marBottom w:val="0"/>
      <w:divBdr>
        <w:top w:val="none" w:sz="0" w:space="0" w:color="auto"/>
        <w:left w:val="none" w:sz="0" w:space="0" w:color="auto"/>
        <w:bottom w:val="none" w:sz="0" w:space="0" w:color="auto"/>
        <w:right w:val="none" w:sz="0" w:space="0" w:color="auto"/>
      </w:divBdr>
    </w:div>
    <w:div w:id="1480458839">
      <w:bodyDiv w:val="1"/>
      <w:marLeft w:val="0"/>
      <w:marRight w:val="0"/>
      <w:marTop w:val="0"/>
      <w:marBottom w:val="0"/>
      <w:divBdr>
        <w:top w:val="none" w:sz="0" w:space="0" w:color="auto"/>
        <w:left w:val="none" w:sz="0" w:space="0" w:color="auto"/>
        <w:bottom w:val="none" w:sz="0" w:space="0" w:color="auto"/>
        <w:right w:val="none" w:sz="0" w:space="0" w:color="auto"/>
      </w:divBdr>
    </w:div>
    <w:div w:id="1489978715">
      <w:bodyDiv w:val="1"/>
      <w:marLeft w:val="0"/>
      <w:marRight w:val="0"/>
      <w:marTop w:val="0"/>
      <w:marBottom w:val="0"/>
      <w:divBdr>
        <w:top w:val="none" w:sz="0" w:space="0" w:color="auto"/>
        <w:left w:val="none" w:sz="0" w:space="0" w:color="auto"/>
        <w:bottom w:val="none" w:sz="0" w:space="0" w:color="auto"/>
        <w:right w:val="none" w:sz="0" w:space="0" w:color="auto"/>
      </w:divBdr>
    </w:div>
    <w:div w:id="1505627633">
      <w:bodyDiv w:val="1"/>
      <w:marLeft w:val="0"/>
      <w:marRight w:val="0"/>
      <w:marTop w:val="0"/>
      <w:marBottom w:val="0"/>
      <w:divBdr>
        <w:top w:val="none" w:sz="0" w:space="0" w:color="auto"/>
        <w:left w:val="none" w:sz="0" w:space="0" w:color="auto"/>
        <w:bottom w:val="none" w:sz="0" w:space="0" w:color="auto"/>
        <w:right w:val="none" w:sz="0" w:space="0" w:color="auto"/>
      </w:divBdr>
    </w:div>
    <w:div w:id="1538808372">
      <w:bodyDiv w:val="1"/>
      <w:marLeft w:val="0"/>
      <w:marRight w:val="0"/>
      <w:marTop w:val="0"/>
      <w:marBottom w:val="0"/>
      <w:divBdr>
        <w:top w:val="none" w:sz="0" w:space="0" w:color="auto"/>
        <w:left w:val="none" w:sz="0" w:space="0" w:color="auto"/>
        <w:bottom w:val="none" w:sz="0" w:space="0" w:color="auto"/>
        <w:right w:val="none" w:sz="0" w:space="0" w:color="auto"/>
      </w:divBdr>
    </w:div>
    <w:div w:id="1568034296">
      <w:bodyDiv w:val="1"/>
      <w:marLeft w:val="0"/>
      <w:marRight w:val="0"/>
      <w:marTop w:val="0"/>
      <w:marBottom w:val="0"/>
      <w:divBdr>
        <w:top w:val="none" w:sz="0" w:space="0" w:color="auto"/>
        <w:left w:val="none" w:sz="0" w:space="0" w:color="auto"/>
        <w:bottom w:val="none" w:sz="0" w:space="0" w:color="auto"/>
        <w:right w:val="none" w:sz="0" w:space="0" w:color="auto"/>
      </w:divBdr>
    </w:div>
    <w:div w:id="1622154037">
      <w:bodyDiv w:val="1"/>
      <w:marLeft w:val="0"/>
      <w:marRight w:val="0"/>
      <w:marTop w:val="0"/>
      <w:marBottom w:val="0"/>
      <w:divBdr>
        <w:top w:val="none" w:sz="0" w:space="0" w:color="auto"/>
        <w:left w:val="none" w:sz="0" w:space="0" w:color="auto"/>
        <w:bottom w:val="none" w:sz="0" w:space="0" w:color="auto"/>
        <w:right w:val="none" w:sz="0" w:space="0" w:color="auto"/>
      </w:divBdr>
    </w:div>
    <w:div w:id="1623994426">
      <w:bodyDiv w:val="1"/>
      <w:marLeft w:val="0"/>
      <w:marRight w:val="0"/>
      <w:marTop w:val="0"/>
      <w:marBottom w:val="0"/>
      <w:divBdr>
        <w:top w:val="none" w:sz="0" w:space="0" w:color="auto"/>
        <w:left w:val="none" w:sz="0" w:space="0" w:color="auto"/>
        <w:bottom w:val="none" w:sz="0" w:space="0" w:color="auto"/>
        <w:right w:val="none" w:sz="0" w:space="0" w:color="auto"/>
      </w:divBdr>
    </w:div>
    <w:div w:id="1746494453">
      <w:bodyDiv w:val="1"/>
      <w:marLeft w:val="0"/>
      <w:marRight w:val="0"/>
      <w:marTop w:val="0"/>
      <w:marBottom w:val="0"/>
      <w:divBdr>
        <w:top w:val="none" w:sz="0" w:space="0" w:color="auto"/>
        <w:left w:val="none" w:sz="0" w:space="0" w:color="auto"/>
        <w:bottom w:val="none" w:sz="0" w:space="0" w:color="auto"/>
        <w:right w:val="none" w:sz="0" w:space="0" w:color="auto"/>
      </w:divBdr>
    </w:div>
    <w:div w:id="1783106928">
      <w:bodyDiv w:val="1"/>
      <w:marLeft w:val="0"/>
      <w:marRight w:val="0"/>
      <w:marTop w:val="0"/>
      <w:marBottom w:val="0"/>
      <w:divBdr>
        <w:top w:val="none" w:sz="0" w:space="0" w:color="auto"/>
        <w:left w:val="none" w:sz="0" w:space="0" w:color="auto"/>
        <w:bottom w:val="none" w:sz="0" w:space="0" w:color="auto"/>
        <w:right w:val="none" w:sz="0" w:space="0" w:color="auto"/>
      </w:divBdr>
    </w:div>
    <w:div w:id="1788281230">
      <w:bodyDiv w:val="1"/>
      <w:marLeft w:val="0"/>
      <w:marRight w:val="0"/>
      <w:marTop w:val="0"/>
      <w:marBottom w:val="0"/>
      <w:divBdr>
        <w:top w:val="none" w:sz="0" w:space="0" w:color="auto"/>
        <w:left w:val="none" w:sz="0" w:space="0" w:color="auto"/>
        <w:bottom w:val="none" w:sz="0" w:space="0" w:color="auto"/>
        <w:right w:val="none" w:sz="0" w:space="0" w:color="auto"/>
      </w:divBdr>
    </w:div>
    <w:div w:id="1858692549">
      <w:bodyDiv w:val="1"/>
      <w:marLeft w:val="0"/>
      <w:marRight w:val="0"/>
      <w:marTop w:val="0"/>
      <w:marBottom w:val="0"/>
      <w:divBdr>
        <w:top w:val="none" w:sz="0" w:space="0" w:color="auto"/>
        <w:left w:val="none" w:sz="0" w:space="0" w:color="auto"/>
        <w:bottom w:val="none" w:sz="0" w:space="0" w:color="auto"/>
        <w:right w:val="none" w:sz="0" w:space="0" w:color="auto"/>
      </w:divBdr>
    </w:div>
    <w:div w:id="1901134194">
      <w:bodyDiv w:val="1"/>
      <w:marLeft w:val="0"/>
      <w:marRight w:val="0"/>
      <w:marTop w:val="0"/>
      <w:marBottom w:val="0"/>
      <w:divBdr>
        <w:top w:val="none" w:sz="0" w:space="0" w:color="auto"/>
        <w:left w:val="none" w:sz="0" w:space="0" w:color="auto"/>
        <w:bottom w:val="none" w:sz="0" w:space="0" w:color="auto"/>
        <w:right w:val="none" w:sz="0" w:space="0" w:color="auto"/>
      </w:divBdr>
    </w:div>
    <w:div w:id="21309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fs.admin.ch/bfs/portal/fr/index/infothek/nomenklaturen/blank/blank/noga0/questions_frequentes.0003.html" TargetMode="External"/><Relationship Id="rId26" Type="http://schemas.openxmlformats.org/officeDocument/2006/relationships/image" Target="media/image13.emf"/><Relationship Id="rId39" Type="http://schemas.openxmlformats.org/officeDocument/2006/relationships/image" Target="media/image24.emf"/><Relationship Id="rId21" Type="http://schemas.openxmlformats.org/officeDocument/2006/relationships/image" Target="media/image8.emf"/><Relationship Id="rId34" Type="http://schemas.openxmlformats.org/officeDocument/2006/relationships/image" Target="media/image20.emf"/><Relationship Id="rId42" Type="http://schemas.openxmlformats.org/officeDocument/2006/relationships/hyperlink" Target="http://www.froid-efficace.ch/" TargetMode="External"/><Relationship Id="rId47" Type="http://schemas.openxmlformats.org/officeDocument/2006/relationships/hyperlink" Target="http://www.druckluft.ch" TargetMode="External"/><Relationship Id="rId50" Type="http://schemas.openxmlformats.org/officeDocument/2006/relationships/image" Target="media/image31.png"/><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image" Target="media/image12.emf"/><Relationship Id="rId33" Type="http://schemas.openxmlformats.org/officeDocument/2006/relationships/image" Target="media/image19.emf"/><Relationship Id="rId38" Type="http://schemas.openxmlformats.org/officeDocument/2006/relationships/image" Target="media/image23.emf"/><Relationship Id="rId46" Type="http://schemas.openxmlformats.org/officeDocument/2006/relationships/image" Target="media/image29.e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hyperlink" Target="http://www.bfs.admin.ch/bfs/portal/fr/index/themen/00/05/blank/03.html" TargetMode="External"/><Relationship Id="rId29" Type="http://schemas.openxmlformats.org/officeDocument/2006/relationships/hyperlink" Target="http://www.esytrol.com" TargetMode="External"/><Relationship Id="rId41" Type="http://schemas.openxmlformats.org/officeDocument/2006/relationships/hyperlink" Target="http://www.suisseenergie.ch/_ws/publicationDetails.aspx?id=p6500&amp;lang=fr-ch"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8.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28.emf"/><Relationship Id="rId53" Type="http://schemas.openxmlformats.org/officeDocument/2006/relationships/hyperlink" Target="http://sourceforge.net/projects/einstein/"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uisseenergie.ch/fr-ch/entreprises/solutions-par-branches.aspx" TargetMode="Externa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hyperlink" Target="http://dia-installer.de/" TargetMode="External"/><Relationship Id="rId49" Type="http://schemas.openxmlformats.org/officeDocument/2006/relationships/image" Target="media/image30.emf"/><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bfs.admin.ch/bfs/portal/fr/index/infothek/nomenklaturen/blank/blank/noga0/revision_noga_2007.html" TargetMode="External"/><Relationship Id="rId31" Type="http://schemas.openxmlformats.org/officeDocument/2006/relationships/image" Target="media/image17.emf"/><Relationship Id="rId44" Type="http://schemas.openxmlformats.org/officeDocument/2006/relationships/image" Target="media/image27.emf"/><Relationship Id="rId52" Type="http://schemas.openxmlformats.org/officeDocument/2006/relationships/hyperlink" Target="http://www.pinch-analyse.ch"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6.emf"/><Relationship Id="rId48" Type="http://schemas.openxmlformats.org/officeDocument/2006/relationships/hyperlink" Target="http://www.topmotors.ch"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image" Target="media/image32.emf"/><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uide_etat_actuel_et_analyse_des_potentiels"/>
    <f:field ref="objsubject" par="" edit="true" text=""/>
    <f:field ref="objcreatedby" par="" text="Cavigelli, Marc (BFE - cam)"/>
    <f:field ref="objcreatedat" par="" text="10.06.2015 10:48:31"/>
    <f:field ref="objchangedby" par="" text="Cavigelli, Marc (BFE - cam)"/>
    <f:field ref="objmodifiedat" par="" text="10.06.2015 10:57:18"/>
    <f:field ref="doc_FSCFOLIO_1_1001_FieldDocumentNumber" par="" text=""/>
    <f:field ref="doc_FSCFOLIO_1_1001_FieldSubject" par="" edit="true" text=""/>
    <f:field ref="FSCFOLIO_1_1001_FieldCurrentUser" par="" text="Barbara Schütz"/>
    <f:field ref="CCAPRECONFIG_15_1001_Objektname" par="" edit="true" text="guide_etat_actuel_et_analyse_des_potentiels"/>
    <f:field ref="CHPRECONFIG_1_1001_Objektname" par="" edit="true" text="guide_etat_actuel_et_analyse_des_potentiels"/>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Versandart" par="" text="B-Pos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BAVCFG_15_1700_ForeignNumber" text="Fremdaktenzeichen"/>
    <f:field ref="CCAPRECONFIG_15_1001_Geschlecht" text="Geschlecht"/>
    <f:field ref="CCAPRECONFIG_15_1001_Geschlecht_Anrede" text="Geschlecht_Anrede"/>
    <f:field ref="CCAPRECONFIG_15_1001_Hausnummer" text="Hausnummer"/>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Stiege" text="Stiege"/>
    <f:field ref="CCAPRECONFIG_15_1001_Strasse" text="Strasse"/>
    <f:field ref="CHPRECONFIG_1_1001_Strasse" text="Strasse"/>
    <f:field ref="BAVCFG_15_1700_Strasse2" text="Strasse2"/>
    <f:field ref="BAVCFG_15_1700_Strasse2_AP" text="Strasse2_AP"/>
    <f:field ref="BAVCFG_15_1700_Strasse_AP" text="Strasse_AP"/>
    <f:field ref="CHPRECONFIG_1_1001_Titel" text="Titel"/>
    <f:field ref="CCAPRECONFIG_15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1572A79-2493-4859-9C57-3561A0B8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12997</Words>
  <Characters>81883</Characters>
  <Application>Microsoft Office Word</Application>
  <DocSecurity>4</DocSecurity>
  <Lines>682</Lines>
  <Paragraphs>189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Bundesamt für Energie</Company>
  <LinksUpToDate>false</LinksUpToDate>
  <CharactersWithSpaces>94691</CharactersWithSpaces>
  <SharedDoc>false</SharedDoc>
  <HLinks>
    <vt:vector size="426" baseType="variant">
      <vt:variant>
        <vt:i4>1376259</vt:i4>
      </vt:variant>
      <vt:variant>
        <vt:i4>687</vt:i4>
      </vt:variant>
      <vt:variant>
        <vt:i4>0</vt:i4>
      </vt:variant>
      <vt:variant>
        <vt:i4>5</vt:i4>
      </vt:variant>
      <vt:variant>
        <vt:lpwstr>http://sourceforge.net/projects/einstein/</vt:lpwstr>
      </vt:variant>
      <vt:variant>
        <vt:lpwstr/>
      </vt:variant>
      <vt:variant>
        <vt:i4>852032</vt:i4>
      </vt:variant>
      <vt:variant>
        <vt:i4>684</vt:i4>
      </vt:variant>
      <vt:variant>
        <vt:i4>0</vt:i4>
      </vt:variant>
      <vt:variant>
        <vt:i4>5</vt:i4>
      </vt:variant>
      <vt:variant>
        <vt:lpwstr>http://www.pinch-analyse.ch/</vt:lpwstr>
      </vt:variant>
      <vt:variant>
        <vt:lpwstr/>
      </vt:variant>
      <vt:variant>
        <vt:i4>1900560</vt:i4>
      </vt:variant>
      <vt:variant>
        <vt:i4>681</vt:i4>
      </vt:variant>
      <vt:variant>
        <vt:i4>0</vt:i4>
      </vt:variant>
      <vt:variant>
        <vt:i4>5</vt:i4>
      </vt:variant>
      <vt:variant>
        <vt:lpwstr>http://www.enaw.ch/fr/prestations/mesures/300-prozessoptimierung-durch-pinch-analyse-einsparungen-im-gwh-bereich</vt:lpwstr>
      </vt:variant>
      <vt:variant>
        <vt:lpwstr/>
      </vt:variant>
      <vt:variant>
        <vt:i4>1048594</vt:i4>
      </vt:variant>
      <vt:variant>
        <vt:i4>606</vt:i4>
      </vt:variant>
      <vt:variant>
        <vt:i4>0</vt:i4>
      </vt:variant>
      <vt:variant>
        <vt:i4>5</vt:i4>
      </vt:variant>
      <vt:variant>
        <vt:lpwstr>http://www.topmotors.ch/</vt:lpwstr>
      </vt:variant>
      <vt:variant>
        <vt:lpwstr/>
      </vt:variant>
      <vt:variant>
        <vt:i4>1835021</vt:i4>
      </vt:variant>
      <vt:variant>
        <vt:i4>603</vt:i4>
      </vt:variant>
      <vt:variant>
        <vt:i4>0</vt:i4>
      </vt:variant>
      <vt:variant>
        <vt:i4>5</vt:i4>
      </vt:variant>
      <vt:variant>
        <vt:lpwstr>http://www.druckluft.ch/</vt:lpwstr>
      </vt:variant>
      <vt:variant>
        <vt:lpwstr/>
      </vt:variant>
      <vt:variant>
        <vt:i4>6357055</vt:i4>
      </vt:variant>
      <vt:variant>
        <vt:i4>558</vt:i4>
      </vt:variant>
      <vt:variant>
        <vt:i4>0</vt:i4>
      </vt:variant>
      <vt:variant>
        <vt:i4>5</vt:i4>
      </vt:variant>
      <vt:variant>
        <vt:lpwstr>http://www.hev-schweiz.ch/vermieten-verwalten/heizgradtage/</vt:lpwstr>
      </vt:variant>
      <vt:variant>
        <vt:lpwstr/>
      </vt:variant>
      <vt:variant>
        <vt:i4>196622</vt:i4>
      </vt:variant>
      <vt:variant>
        <vt:i4>549</vt:i4>
      </vt:variant>
      <vt:variant>
        <vt:i4>0</vt:i4>
      </vt:variant>
      <vt:variant>
        <vt:i4>5</vt:i4>
      </vt:variant>
      <vt:variant>
        <vt:lpwstr>http://www.froid-efficace.ch/</vt:lpwstr>
      </vt:variant>
      <vt:variant>
        <vt:lpwstr/>
      </vt:variant>
      <vt:variant>
        <vt:i4>3014725</vt:i4>
      </vt:variant>
      <vt:variant>
        <vt:i4>546</vt:i4>
      </vt:variant>
      <vt:variant>
        <vt:i4>0</vt:i4>
      </vt:variant>
      <vt:variant>
        <vt:i4>5</vt:i4>
      </vt:variant>
      <vt:variant>
        <vt:lpwstr>http://www.suisseenergie.ch/_ws/publicationDetails.aspx?id=p6500&amp;lang=fr-ch</vt:lpwstr>
      </vt:variant>
      <vt:variant>
        <vt:lpwstr/>
      </vt:variant>
      <vt:variant>
        <vt:i4>21</vt:i4>
      </vt:variant>
      <vt:variant>
        <vt:i4>510</vt:i4>
      </vt:variant>
      <vt:variant>
        <vt:i4>0</vt:i4>
      </vt:variant>
      <vt:variant>
        <vt:i4>5</vt:i4>
      </vt:variant>
      <vt:variant>
        <vt:lpwstr>http://dia-installer.de/</vt:lpwstr>
      </vt:variant>
      <vt:variant>
        <vt:lpwstr/>
      </vt:variant>
      <vt:variant>
        <vt:i4>5963863</vt:i4>
      </vt:variant>
      <vt:variant>
        <vt:i4>432</vt:i4>
      </vt:variant>
      <vt:variant>
        <vt:i4>0</vt:i4>
      </vt:variant>
      <vt:variant>
        <vt:i4>5</vt:i4>
      </vt:variant>
      <vt:variant>
        <vt:lpwstr>http://www.ezv.admin.ch/zollinfo_firmen/steuern_abgaben/00379/02315/index.html?lang=fr</vt:lpwstr>
      </vt:variant>
      <vt:variant>
        <vt:lpwstr/>
      </vt:variant>
      <vt:variant>
        <vt:i4>2556025</vt:i4>
      </vt:variant>
      <vt:variant>
        <vt:i4>429</vt:i4>
      </vt:variant>
      <vt:variant>
        <vt:i4>0</vt:i4>
      </vt:variant>
      <vt:variant>
        <vt:i4>5</vt:i4>
      </vt:variant>
      <vt:variant>
        <vt:lpwstr>http://www.esytrol.com/</vt:lpwstr>
      </vt:variant>
      <vt:variant>
        <vt:lpwstr/>
      </vt:variant>
      <vt:variant>
        <vt:i4>6815846</vt:i4>
      </vt:variant>
      <vt:variant>
        <vt:i4>369</vt:i4>
      </vt:variant>
      <vt:variant>
        <vt:i4>0</vt:i4>
      </vt:variant>
      <vt:variant>
        <vt:i4>5</vt:i4>
      </vt:variant>
      <vt:variant>
        <vt:lpwstr>http://www.bfs.admin.ch/bfs/portal/fr/index/themen/00/05/blank/03.html</vt:lpwstr>
      </vt:variant>
      <vt:variant>
        <vt:lpwstr/>
      </vt:variant>
      <vt:variant>
        <vt:i4>6815865</vt:i4>
      </vt:variant>
      <vt:variant>
        <vt:i4>366</vt:i4>
      </vt:variant>
      <vt:variant>
        <vt:i4>0</vt:i4>
      </vt:variant>
      <vt:variant>
        <vt:i4>5</vt:i4>
      </vt:variant>
      <vt:variant>
        <vt:lpwstr>http://www.bfs.admin.ch/bfs/portal/fr/index/infothek/nomenklaturen/blank/blank/noga0/revision_noga_2007.html</vt:lpwstr>
      </vt:variant>
      <vt:variant>
        <vt:lpwstr/>
      </vt:variant>
      <vt:variant>
        <vt:i4>3932227</vt:i4>
      </vt:variant>
      <vt:variant>
        <vt:i4>363</vt:i4>
      </vt:variant>
      <vt:variant>
        <vt:i4>0</vt:i4>
      </vt:variant>
      <vt:variant>
        <vt:i4>5</vt:i4>
      </vt:variant>
      <vt:variant>
        <vt:lpwstr>http://www.bfs.admin.ch/bfs/portal/fr/index/infothek/nomenklaturen/blank/blank/noga0/questions_frequentes.0003.html</vt:lpwstr>
      </vt:variant>
      <vt:variant>
        <vt:lpwstr/>
      </vt:variant>
      <vt:variant>
        <vt:i4>1507336</vt:i4>
      </vt:variant>
      <vt:variant>
        <vt:i4>345</vt:i4>
      </vt:variant>
      <vt:variant>
        <vt:i4>0</vt:i4>
      </vt:variant>
      <vt:variant>
        <vt:i4>5</vt:i4>
      </vt:variant>
      <vt:variant>
        <vt:lpwstr>http://www.suisseenergie.ch/fr-ch/entreprises/solutions-par-branches.aspx</vt:lpwstr>
      </vt:variant>
      <vt:variant>
        <vt:lpwstr/>
      </vt:variant>
      <vt:variant>
        <vt:i4>1703986</vt:i4>
      </vt:variant>
      <vt:variant>
        <vt:i4>338</vt:i4>
      </vt:variant>
      <vt:variant>
        <vt:i4>0</vt:i4>
      </vt:variant>
      <vt:variant>
        <vt:i4>5</vt:i4>
      </vt:variant>
      <vt:variant>
        <vt:lpwstr/>
      </vt:variant>
      <vt:variant>
        <vt:lpwstr>_Toc357170192</vt:lpwstr>
      </vt:variant>
      <vt:variant>
        <vt:i4>1703986</vt:i4>
      </vt:variant>
      <vt:variant>
        <vt:i4>332</vt:i4>
      </vt:variant>
      <vt:variant>
        <vt:i4>0</vt:i4>
      </vt:variant>
      <vt:variant>
        <vt:i4>5</vt:i4>
      </vt:variant>
      <vt:variant>
        <vt:lpwstr/>
      </vt:variant>
      <vt:variant>
        <vt:lpwstr>_Toc357170191</vt:lpwstr>
      </vt:variant>
      <vt:variant>
        <vt:i4>1703986</vt:i4>
      </vt:variant>
      <vt:variant>
        <vt:i4>326</vt:i4>
      </vt:variant>
      <vt:variant>
        <vt:i4>0</vt:i4>
      </vt:variant>
      <vt:variant>
        <vt:i4>5</vt:i4>
      </vt:variant>
      <vt:variant>
        <vt:lpwstr/>
      </vt:variant>
      <vt:variant>
        <vt:lpwstr>_Toc357170190</vt:lpwstr>
      </vt:variant>
      <vt:variant>
        <vt:i4>1769522</vt:i4>
      </vt:variant>
      <vt:variant>
        <vt:i4>320</vt:i4>
      </vt:variant>
      <vt:variant>
        <vt:i4>0</vt:i4>
      </vt:variant>
      <vt:variant>
        <vt:i4>5</vt:i4>
      </vt:variant>
      <vt:variant>
        <vt:lpwstr/>
      </vt:variant>
      <vt:variant>
        <vt:lpwstr>_Toc357170189</vt:lpwstr>
      </vt:variant>
      <vt:variant>
        <vt:i4>1769522</vt:i4>
      </vt:variant>
      <vt:variant>
        <vt:i4>314</vt:i4>
      </vt:variant>
      <vt:variant>
        <vt:i4>0</vt:i4>
      </vt:variant>
      <vt:variant>
        <vt:i4>5</vt:i4>
      </vt:variant>
      <vt:variant>
        <vt:lpwstr/>
      </vt:variant>
      <vt:variant>
        <vt:lpwstr>_Toc357170188</vt:lpwstr>
      </vt:variant>
      <vt:variant>
        <vt:i4>1769522</vt:i4>
      </vt:variant>
      <vt:variant>
        <vt:i4>308</vt:i4>
      </vt:variant>
      <vt:variant>
        <vt:i4>0</vt:i4>
      </vt:variant>
      <vt:variant>
        <vt:i4>5</vt:i4>
      </vt:variant>
      <vt:variant>
        <vt:lpwstr/>
      </vt:variant>
      <vt:variant>
        <vt:lpwstr>_Toc357170187</vt:lpwstr>
      </vt:variant>
      <vt:variant>
        <vt:i4>1769522</vt:i4>
      </vt:variant>
      <vt:variant>
        <vt:i4>302</vt:i4>
      </vt:variant>
      <vt:variant>
        <vt:i4>0</vt:i4>
      </vt:variant>
      <vt:variant>
        <vt:i4>5</vt:i4>
      </vt:variant>
      <vt:variant>
        <vt:lpwstr/>
      </vt:variant>
      <vt:variant>
        <vt:lpwstr>_Toc357170186</vt:lpwstr>
      </vt:variant>
      <vt:variant>
        <vt:i4>1769522</vt:i4>
      </vt:variant>
      <vt:variant>
        <vt:i4>296</vt:i4>
      </vt:variant>
      <vt:variant>
        <vt:i4>0</vt:i4>
      </vt:variant>
      <vt:variant>
        <vt:i4>5</vt:i4>
      </vt:variant>
      <vt:variant>
        <vt:lpwstr/>
      </vt:variant>
      <vt:variant>
        <vt:lpwstr>_Toc357170185</vt:lpwstr>
      </vt:variant>
      <vt:variant>
        <vt:i4>1769522</vt:i4>
      </vt:variant>
      <vt:variant>
        <vt:i4>290</vt:i4>
      </vt:variant>
      <vt:variant>
        <vt:i4>0</vt:i4>
      </vt:variant>
      <vt:variant>
        <vt:i4>5</vt:i4>
      </vt:variant>
      <vt:variant>
        <vt:lpwstr/>
      </vt:variant>
      <vt:variant>
        <vt:lpwstr>_Toc357170184</vt:lpwstr>
      </vt:variant>
      <vt:variant>
        <vt:i4>1769522</vt:i4>
      </vt:variant>
      <vt:variant>
        <vt:i4>284</vt:i4>
      </vt:variant>
      <vt:variant>
        <vt:i4>0</vt:i4>
      </vt:variant>
      <vt:variant>
        <vt:i4>5</vt:i4>
      </vt:variant>
      <vt:variant>
        <vt:lpwstr/>
      </vt:variant>
      <vt:variant>
        <vt:lpwstr>_Toc357170183</vt:lpwstr>
      </vt:variant>
      <vt:variant>
        <vt:i4>1769522</vt:i4>
      </vt:variant>
      <vt:variant>
        <vt:i4>278</vt:i4>
      </vt:variant>
      <vt:variant>
        <vt:i4>0</vt:i4>
      </vt:variant>
      <vt:variant>
        <vt:i4>5</vt:i4>
      </vt:variant>
      <vt:variant>
        <vt:lpwstr/>
      </vt:variant>
      <vt:variant>
        <vt:lpwstr>_Toc357170182</vt:lpwstr>
      </vt:variant>
      <vt:variant>
        <vt:i4>1769522</vt:i4>
      </vt:variant>
      <vt:variant>
        <vt:i4>272</vt:i4>
      </vt:variant>
      <vt:variant>
        <vt:i4>0</vt:i4>
      </vt:variant>
      <vt:variant>
        <vt:i4>5</vt:i4>
      </vt:variant>
      <vt:variant>
        <vt:lpwstr/>
      </vt:variant>
      <vt:variant>
        <vt:lpwstr>_Toc357170181</vt:lpwstr>
      </vt:variant>
      <vt:variant>
        <vt:i4>1769522</vt:i4>
      </vt:variant>
      <vt:variant>
        <vt:i4>266</vt:i4>
      </vt:variant>
      <vt:variant>
        <vt:i4>0</vt:i4>
      </vt:variant>
      <vt:variant>
        <vt:i4>5</vt:i4>
      </vt:variant>
      <vt:variant>
        <vt:lpwstr/>
      </vt:variant>
      <vt:variant>
        <vt:lpwstr>_Toc357170180</vt:lpwstr>
      </vt:variant>
      <vt:variant>
        <vt:i4>1310770</vt:i4>
      </vt:variant>
      <vt:variant>
        <vt:i4>260</vt:i4>
      </vt:variant>
      <vt:variant>
        <vt:i4>0</vt:i4>
      </vt:variant>
      <vt:variant>
        <vt:i4>5</vt:i4>
      </vt:variant>
      <vt:variant>
        <vt:lpwstr/>
      </vt:variant>
      <vt:variant>
        <vt:lpwstr>_Toc357170179</vt:lpwstr>
      </vt:variant>
      <vt:variant>
        <vt:i4>1310770</vt:i4>
      </vt:variant>
      <vt:variant>
        <vt:i4>254</vt:i4>
      </vt:variant>
      <vt:variant>
        <vt:i4>0</vt:i4>
      </vt:variant>
      <vt:variant>
        <vt:i4>5</vt:i4>
      </vt:variant>
      <vt:variant>
        <vt:lpwstr/>
      </vt:variant>
      <vt:variant>
        <vt:lpwstr>_Toc357170178</vt:lpwstr>
      </vt:variant>
      <vt:variant>
        <vt:i4>1310770</vt:i4>
      </vt:variant>
      <vt:variant>
        <vt:i4>248</vt:i4>
      </vt:variant>
      <vt:variant>
        <vt:i4>0</vt:i4>
      </vt:variant>
      <vt:variant>
        <vt:i4>5</vt:i4>
      </vt:variant>
      <vt:variant>
        <vt:lpwstr/>
      </vt:variant>
      <vt:variant>
        <vt:lpwstr>_Toc357170177</vt:lpwstr>
      </vt:variant>
      <vt:variant>
        <vt:i4>1310770</vt:i4>
      </vt:variant>
      <vt:variant>
        <vt:i4>242</vt:i4>
      </vt:variant>
      <vt:variant>
        <vt:i4>0</vt:i4>
      </vt:variant>
      <vt:variant>
        <vt:i4>5</vt:i4>
      </vt:variant>
      <vt:variant>
        <vt:lpwstr/>
      </vt:variant>
      <vt:variant>
        <vt:lpwstr>_Toc357170176</vt:lpwstr>
      </vt:variant>
      <vt:variant>
        <vt:i4>1310770</vt:i4>
      </vt:variant>
      <vt:variant>
        <vt:i4>236</vt:i4>
      </vt:variant>
      <vt:variant>
        <vt:i4>0</vt:i4>
      </vt:variant>
      <vt:variant>
        <vt:i4>5</vt:i4>
      </vt:variant>
      <vt:variant>
        <vt:lpwstr/>
      </vt:variant>
      <vt:variant>
        <vt:lpwstr>_Toc357170175</vt:lpwstr>
      </vt:variant>
      <vt:variant>
        <vt:i4>1310770</vt:i4>
      </vt:variant>
      <vt:variant>
        <vt:i4>230</vt:i4>
      </vt:variant>
      <vt:variant>
        <vt:i4>0</vt:i4>
      </vt:variant>
      <vt:variant>
        <vt:i4>5</vt:i4>
      </vt:variant>
      <vt:variant>
        <vt:lpwstr/>
      </vt:variant>
      <vt:variant>
        <vt:lpwstr>_Toc357170174</vt:lpwstr>
      </vt:variant>
      <vt:variant>
        <vt:i4>1310770</vt:i4>
      </vt:variant>
      <vt:variant>
        <vt:i4>221</vt:i4>
      </vt:variant>
      <vt:variant>
        <vt:i4>0</vt:i4>
      </vt:variant>
      <vt:variant>
        <vt:i4>5</vt:i4>
      </vt:variant>
      <vt:variant>
        <vt:lpwstr/>
      </vt:variant>
      <vt:variant>
        <vt:lpwstr>_Toc357170173</vt:lpwstr>
      </vt:variant>
      <vt:variant>
        <vt:i4>1310770</vt:i4>
      </vt:variant>
      <vt:variant>
        <vt:i4>215</vt:i4>
      </vt:variant>
      <vt:variant>
        <vt:i4>0</vt:i4>
      </vt:variant>
      <vt:variant>
        <vt:i4>5</vt:i4>
      </vt:variant>
      <vt:variant>
        <vt:lpwstr/>
      </vt:variant>
      <vt:variant>
        <vt:lpwstr>_Toc357170172</vt:lpwstr>
      </vt:variant>
      <vt:variant>
        <vt:i4>1310770</vt:i4>
      </vt:variant>
      <vt:variant>
        <vt:i4>209</vt:i4>
      </vt:variant>
      <vt:variant>
        <vt:i4>0</vt:i4>
      </vt:variant>
      <vt:variant>
        <vt:i4>5</vt:i4>
      </vt:variant>
      <vt:variant>
        <vt:lpwstr/>
      </vt:variant>
      <vt:variant>
        <vt:lpwstr>_Toc357170171</vt:lpwstr>
      </vt:variant>
      <vt:variant>
        <vt:i4>1310770</vt:i4>
      </vt:variant>
      <vt:variant>
        <vt:i4>203</vt:i4>
      </vt:variant>
      <vt:variant>
        <vt:i4>0</vt:i4>
      </vt:variant>
      <vt:variant>
        <vt:i4>5</vt:i4>
      </vt:variant>
      <vt:variant>
        <vt:lpwstr/>
      </vt:variant>
      <vt:variant>
        <vt:lpwstr>_Toc357170170</vt:lpwstr>
      </vt:variant>
      <vt:variant>
        <vt:i4>1376306</vt:i4>
      </vt:variant>
      <vt:variant>
        <vt:i4>197</vt:i4>
      </vt:variant>
      <vt:variant>
        <vt:i4>0</vt:i4>
      </vt:variant>
      <vt:variant>
        <vt:i4>5</vt:i4>
      </vt:variant>
      <vt:variant>
        <vt:lpwstr/>
      </vt:variant>
      <vt:variant>
        <vt:lpwstr>_Toc357170169</vt:lpwstr>
      </vt:variant>
      <vt:variant>
        <vt:i4>1376306</vt:i4>
      </vt:variant>
      <vt:variant>
        <vt:i4>191</vt:i4>
      </vt:variant>
      <vt:variant>
        <vt:i4>0</vt:i4>
      </vt:variant>
      <vt:variant>
        <vt:i4>5</vt:i4>
      </vt:variant>
      <vt:variant>
        <vt:lpwstr/>
      </vt:variant>
      <vt:variant>
        <vt:lpwstr>_Toc357170168</vt:lpwstr>
      </vt:variant>
      <vt:variant>
        <vt:i4>1376306</vt:i4>
      </vt:variant>
      <vt:variant>
        <vt:i4>182</vt:i4>
      </vt:variant>
      <vt:variant>
        <vt:i4>0</vt:i4>
      </vt:variant>
      <vt:variant>
        <vt:i4>5</vt:i4>
      </vt:variant>
      <vt:variant>
        <vt:lpwstr/>
      </vt:variant>
      <vt:variant>
        <vt:lpwstr>_Toc357170167</vt:lpwstr>
      </vt:variant>
      <vt:variant>
        <vt:i4>1376306</vt:i4>
      </vt:variant>
      <vt:variant>
        <vt:i4>176</vt:i4>
      </vt:variant>
      <vt:variant>
        <vt:i4>0</vt:i4>
      </vt:variant>
      <vt:variant>
        <vt:i4>5</vt:i4>
      </vt:variant>
      <vt:variant>
        <vt:lpwstr/>
      </vt:variant>
      <vt:variant>
        <vt:lpwstr>_Toc357170166</vt:lpwstr>
      </vt:variant>
      <vt:variant>
        <vt:i4>1376306</vt:i4>
      </vt:variant>
      <vt:variant>
        <vt:i4>170</vt:i4>
      </vt:variant>
      <vt:variant>
        <vt:i4>0</vt:i4>
      </vt:variant>
      <vt:variant>
        <vt:i4>5</vt:i4>
      </vt:variant>
      <vt:variant>
        <vt:lpwstr/>
      </vt:variant>
      <vt:variant>
        <vt:lpwstr>_Toc357170165</vt:lpwstr>
      </vt:variant>
      <vt:variant>
        <vt:i4>1376306</vt:i4>
      </vt:variant>
      <vt:variant>
        <vt:i4>164</vt:i4>
      </vt:variant>
      <vt:variant>
        <vt:i4>0</vt:i4>
      </vt:variant>
      <vt:variant>
        <vt:i4>5</vt:i4>
      </vt:variant>
      <vt:variant>
        <vt:lpwstr/>
      </vt:variant>
      <vt:variant>
        <vt:lpwstr>_Toc357170164</vt:lpwstr>
      </vt:variant>
      <vt:variant>
        <vt:i4>1376306</vt:i4>
      </vt:variant>
      <vt:variant>
        <vt:i4>158</vt:i4>
      </vt:variant>
      <vt:variant>
        <vt:i4>0</vt:i4>
      </vt:variant>
      <vt:variant>
        <vt:i4>5</vt:i4>
      </vt:variant>
      <vt:variant>
        <vt:lpwstr/>
      </vt:variant>
      <vt:variant>
        <vt:lpwstr>_Toc357170163</vt:lpwstr>
      </vt:variant>
      <vt:variant>
        <vt:i4>1376306</vt:i4>
      </vt:variant>
      <vt:variant>
        <vt:i4>152</vt:i4>
      </vt:variant>
      <vt:variant>
        <vt:i4>0</vt:i4>
      </vt:variant>
      <vt:variant>
        <vt:i4>5</vt:i4>
      </vt:variant>
      <vt:variant>
        <vt:lpwstr/>
      </vt:variant>
      <vt:variant>
        <vt:lpwstr>_Toc357170162</vt:lpwstr>
      </vt:variant>
      <vt:variant>
        <vt:i4>1376306</vt:i4>
      </vt:variant>
      <vt:variant>
        <vt:i4>146</vt:i4>
      </vt:variant>
      <vt:variant>
        <vt:i4>0</vt:i4>
      </vt:variant>
      <vt:variant>
        <vt:i4>5</vt:i4>
      </vt:variant>
      <vt:variant>
        <vt:lpwstr/>
      </vt:variant>
      <vt:variant>
        <vt:lpwstr>_Toc357170161</vt:lpwstr>
      </vt:variant>
      <vt:variant>
        <vt:i4>1376306</vt:i4>
      </vt:variant>
      <vt:variant>
        <vt:i4>140</vt:i4>
      </vt:variant>
      <vt:variant>
        <vt:i4>0</vt:i4>
      </vt:variant>
      <vt:variant>
        <vt:i4>5</vt:i4>
      </vt:variant>
      <vt:variant>
        <vt:lpwstr/>
      </vt:variant>
      <vt:variant>
        <vt:lpwstr>_Toc357170160</vt:lpwstr>
      </vt:variant>
      <vt:variant>
        <vt:i4>1441842</vt:i4>
      </vt:variant>
      <vt:variant>
        <vt:i4>134</vt:i4>
      </vt:variant>
      <vt:variant>
        <vt:i4>0</vt:i4>
      </vt:variant>
      <vt:variant>
        <vt:i4>5</vt:i4>
      </vt:variant>
      <vt:variant>
        <vt:lpwstr/>
      </vt:variant>
      <vt:variant>
        <vt:lpwstr>_Toc357170159</vt:lpwstr>
      </vt:variant>
      <vt:variant>
        <vt:i4>1441842</vt:i4>
      </vt:variant>
      <vt:variant>
        <vt:i4>128</vt:i4>
      </vt:variant>
      <vt:variant>
        <vt:i4>0</vt:i4>
      </vt:variant>
      <vt:variant>
        <vt:i4>5</vt:i4>
      </vt:variant>
      <vt:variant>
        <vt:lpwstr/>
      </vt:variant>
      <vt:variant>
        <vt:lpwstr>_Toc357170158</vt:lpwstr>
      </vt:variant>
      <vt:variant>
        <vt:i4>1441842</vt:i4>
      </vt:variant>
      <vt:variant>
        <vt:i4>122</vt:i4>
      </vt:variant>
      <vt:variant>
        <vt:i4>0</vt:i4>
      </vt:variant>
      <vt:variant>
        <vt:i4>5</vt:i4>
      </vt:variant>
      <vt:variant>
        <vt:lpwstr/>
      </vt:variant>
      <vt:variant>
        <vt:lpwstr>_Toc357170157</vt:lpwstr>
      </vt:variant>
      <vt:variant>
        <vt:i4>1441842</vt:i4>
      </vt:variant>
      <vt:variant>
        <vt:i4>116</vt:i4>
      </vt:variant>
      <vt:variant>
        <vt:i4>0</vt:i4>
      </vt:variant>
      <vt:variant>
        <vt:i4>5</vt:i4>
      </vt:variant>
      <vt:variant>
        <vt:lpwstr/>
      </vt:variant>
      <vt:variant>
        <vt:lpwstr>_Toc357170156</vt:lpwstr>
      </vt:variant>
      <vt:variant>
        <vt:i4>1441842</vt:i4>
      </vt:variant>
      <vt:variant>
        <vt:i4>110</vt:i4>
      </vt:variant>
      <vt:variant>
        <vt:i4>0</vt:i4>
      </vt:variant>
      <vt:variant>
        <vt:i4>5</vt:i4>
      </vt:variant>
      <vt:variant>
        <vt:lpwstr/>
      </vt:variant>
      <vt:variant>
        <vt:lpwstr>_Toc357170155</vt:lpwstr>
      </vt:variant>
      <vt:variant>
        <vt:i4>1441842</vt:i4>
      </vt:variant>
      <vt:variant>
        <vt:i4>104</vt:i4>
      </vt:variant>
      <vt:variant>
        <vt:i4>0</vt:i4>
      </vt:variant>
      <vt:variant>
        <vt:i4>5</vt:i4>
      </vt:variant>
      <vt:variant>
        <vt:lpwstr/>
      </vt:variant>
      <vt:variant>
        <vt:lpwstr>_Toc357170154</vt:lpwstr>
      </vt:variant>
      <vt:variant>
        <vt:i4>1441842</vt:i4>
      </vt:variant>
      <vt:variant>
        <vt:i4>98</vt:i4>
      </vt:variant>
      <vt:variant>
        <vt:i4>0</vt:i4>
      </vt:variant>
      <vt:variant>
        <vt:i4>5</vt:i4>
      </vt:variant>
      <vt:variant>
        <vt:lpwstr/>
      </vt:variant>
      <vt:variant>
        <vt:lpwstr>_Toc357170153</vt:lpwstr>
      </vt:variant>
      <vt:variant>
        <vt:i4>1441842</vt:i4>
      </vt:variant>
      <vt:variant>
        <vt:i4>92</vt:i4>
      </vt:variant>
      <vt:variant>
        <vt:i4>0</vt:i4>
      </vt:variant>
      <vt:variant>
        <vt:i4>5</vt:i4>
      </vt:variant>
      <vt:variant>
        <vt:lpwstr/>
      </vt:variant>
      <vt:variant>
        <vt:lpwstr>_Toc357170152</vt:lpwstr>
      </vt:variant>
      <vt:variant>
        <vt:i4>1441842</vt:i4>
      </vt:variant>
      <vt:variant>
        <vt:i4>86</vt:i4>
      </vt:variant>
      <vt:variant>
        <vt:i4>0</vt:i4>
      </vt:variant>
      <vt:variant>
        <vt:i4>5</vt:i4>
      </vt:variant>
      <vt:variant>
        <vt:lpwstr/>
      </vt:variant>
      <vt:variant>
        <vt:lpwstr>_Toc357170151</vt:lpwstr>
      </vt:variant>
      <vt:variant>
        <vt:i4>1441842</vt:i4>
      </vt:variant>
      <vt:variant>
        <vt:i4>80</vt:i4>
      </vt:variant>
      <vt:variant>
        <vt:i4>0</vt:i4>
      </vt:variant>
      <vt:variant>
        <vt:i4>5</vt:i4>
      </vt:variant>
      <vt:variant>
        <vt:lpwstr/>
      </vt:variant>
      <vt:variant>
        <vt:lpwstr>_Toc357170150</vt:lpwstr>
      </vt:variant>
      <vt:variant>
        <vt:i4>1507378</vt:i4>
      </vt:variant>
      <vt:variant>
        <vt:i4>74</vt:i4>
      </vt:variant>
      <vt:variant>
        <vt:i4>0</vt:i4>
      </vt:variant>
      <vt:variant>
        <vt:i4>5</vt:i4>
      </vt:variant>
      <vt:variant>
        <vt:lpwstr/>
      </vt:variant>
      <vt:variant>
        <vt:lpwstr>_Toc357170149</vt:lpwstr>
      </vt:variant>
      <vt:variant>
        <vt:i4>1507378</vt:i4>
      </vt:variant>
      <vt:variant>
        <vt:i4>68</vt:i4>
      </vt:variant>
      <vt:variant>
        <vt:i4>0</vt:i4>
      </vt:variant>
      <vt:variant>
        <vt:i4>5</vt:i4>
      </vt:variant>
      <vt:variant>
        <vt:lpwstr/>
      </vt:variant>
      <vt:variant>
        <vt:lpwstr>_Toc357170148</vt:lpwstr>
      </vt:variant>
      <vt:variant>
        <vt:i4>1507378</vt:i4>
      </vt:variant>
      <vt:variant>
        <vt:i4>62</vt:i4>
      </vt:variant>
      <vt:variant>
        <vt:i4>0</vt:i4>
      </vt:variant>
      <vt:variant>
        <vt:i4>5</vt:i4>
      </vt:variant>
      <vt:variant>
        <vt:lpwstr/>
      </vt:variant>
      <vt:variant>
        <vt:lpwstr>_Toc357170147</vt:lpwstr>
      </vt:variant>
      <vt:variant>
        <vt:i4>1507378</vt:i4>
      </vt:variant>
      <vt:variant>
        <vt:i4>56</vt:i4>
      </vt:variant>
      <vt:variant>
        <vt:i4>0</vt:i4>
      </vt:variant>
      <vt:variant>
        <vt:i4>5</vt:i4>
      </vt:variant>
      <vt:variant>
        <vt:lpwstr/>
      </vt:variant>
      <vt:variant>
        <vt:lpwstr>_Toc357170146</vt:lpwstr>
      </vt:variant>
      <vt:variant>
        <vt:i4>1507378</vt:i4>
      </vt:variant>
      <vt:variant>
        <vt:i4>50</vt:i4>
      </vt:variant>
      <vt:variant>
        <vt:i4>0</vt:i4>
      </vt:variant>
      <vt:variant>
        <vt:i4>5</vt:i4>
      </vt:variant>
      <vt:variant>
        <vt:lpwstr/>
      </vt:variant>
      <vt:variant>
        <vt:lpwstr>_Toc357170145</vt:lpwstr>
      </vt:variant>
      <vt:variant>
        <vt:i4>1507378</vt:i4>
      </vt:variant>
      <vt:variant>
        <vt:i4>44</vt:i4>
      </vt:variant>
      <vt:variant>
        <vt:i4>0</vt:i4>
      </vt:variant>
      <vt:variant>
        <vt:i4>5</vt:i4>
      </vt:variant>
      <vt:variant>
        <vt:lpwstr/>
      </vt:variant>
      <vt:variant>
        <vt:lpwstr>_Toc357170144</vt:lpwstr>
      </vt:variant>
      <vt:variant>
        <vt:i4>1507378</vt:i4>
      </vt:variant>
      <vt:variant>
        <vt:i4>38</vt:i4>
      </vt:variant>
      <vt:variant>
        <vt:i4>0</vt:i4>
      </vt:variant>
      <vt:variant>
        <vt:i4>5</vt:i4>
      </vt:variant>
      <vt:variant>
        <vt:lpwstr/>
      </vt:variant>
      <vt:variant>
        <vt:lpwstr>_Toc357170143</vt:lpwstr>
      </vt:variant>
      <vt:variant>
        <vt:i4>1507378</vt:i4>
      </vt:variant>
      <vt:variant>
        <vt:i4>32</vt:i4>
      </vt:variant>
      <vt:variant>
        <vt:i4>0</vt:i4>
      </vt:variant>
      <vt:variant>
        <vt:i4>5</vt:i4>
      </vt:variant>
      <vt:variant>
        <vt:lpwstr/>
      </vt:variant>
      <vt:variant>
        <vt:lpwstr>_Toc357170142</vt:lpwstr>
      </vt:variant>
      <vt:variant>
        <vt:i4>1507378</vt:i4>
      </vt:variant>
      <vt:variant>
        <vt:i4>26</vt:i4>
      </vt:variant>
      <vt:variant>
        <vt:i4>0</vt:i4>
      </vt:variant>
      <vt:variant>
        <vt:i4>5</vt:i4>
      </vt:variant>
      <vt:variant>
        <vt:lpwstr/>
      </vt:variant>
      <vt:variant>
        <vt:lpwstr>_Toc357170141</vt:lpwstr>
      </vt:variant>
      <vt:variant>
        <vt:i4>1507378</vt:i4>
      </vt:variant>
      <vt:variant>
        <vt:i4>20</vt:i4>
      </vt:variant>
      <vt:variant>
        <vt:i4>0</vt:i4>
      </vt:variant>
      <vt:variant>
        <vt:i4>5</vt:i4>
      </vt:variant>
      <vt:variant>
        <vt:lpwstr/>
      </vt:variant>
      <vt:variant>
        <vt:lpwstr>_Toc357170140</vt:lpwstr>
      </vt:variant>
      <vt:variant>
        <vt:i4>1048626</vt:i4>
      </vt:variant>
      <vt:variant>
        <vt:i4>14</vt:i4>
      </vt:variant>
      <vt:variant>
        <vt:i4>0</vt:i4>
      </vt:variant>
      <vt:variant>
        <vt:i4>5</vt:i4>
      </vt:variant>
      <vt:variant>
        <vt:lpwstr/>
      </vt:variant>
      <vt:variant>
        <vt:lpwstr>_Toc357170139</vt:lpwstr>
      </vt:variant>
      <vt:variant>
        <vt:i4>1048626</vt:i4>
      </vt:variant>
      <vt:variant>
        <vt:i4>8</vt:i4>
      </vt:variant>
      <vt:variant>
        <vt:i4>0</vt:i4>
      </vt:variant>
      <vt:variant>
        <vt:i4>5</vt:i4>
      </vt:variant>
      <vt:variant>
        <vt:lpwstr/>
      </vt:variant>
      <vt:variant>
        <vt:lpwstr>_Toc357170138</vt:lpwstr>
      </vt:variant>
      <vt:variant>
        <vt:i4>1048626</vt:i4>
      </vt:variant>
      <vt:variant>
        <vt:i4>2</vt:i4>
      </vt:variant>
      <vt:variant>
        <vt:i4>0</vt:i4>
      </vt:variant>
      <vt:variant>
        <vt:i4>5</vt:i4>
      </vt:variant>
      <vt:variant>
        <vt:lpwstr/>
      </vt:variant>
      <vt:variant>
        <vt:lpwstr>_Toc357170137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Cavigelli</dc:creator>
  <cp:lastModifiedBy>Schütz Barbara BFE</cp:lastModifiedBy>
  <cp:revision>2</cp:revision>
  <cp:lastPrinted>2013-04-25T08:25:00Z</cp:lastPrinted>
  <dcterms:created xsi:type="dcterms:W3CDTF">2015-06-10T09:21:00Z</dcterms:created>
  <dcterms:modified xsi:type="dcterms:W3CDTF">2015-06-10T09:21:00Z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Sektion Industrie und Dienstleistungen</vt:lpwstr>
  </property>
  <property fmtid="{D5CDD505-2E9C-101B-9397-08002B2CF9AE}" pid="4" name="FSC#UVEKCFG@15.1700:FileRespFunction">
    <vt:lpwstr/>
  </property>
  <property fmtid="{D5CDD505-2E9C-101B-9397-08002B2CF9AE}" pid="5" name="FSC#UVEKCFG@15.1700:AssignedClassification">
    <vt:lpwstr/>
  </property>
  <property fmtid="{D5CDD505-2E9C-101B-9397-08002B2CF9AE}" pid="6" name="FSC#UVEKCFG@15.1700:AssignedClassificationCode">
    <vt:lpwstr/>
  </property>
  <property fmtid="{D5CDD505-2E9C-101B-9397-08002B2CF9AE}" pid="7" name="FSC#UVEKCFG@15.1700:FileResponsible">
    <vt:lpwstr/>
  </property>
  <property fmtid="{D5CDD505-2E9C-101B-9397-08002B2CF9AE}" pid="8" name="FSC#UVEKCFG@15.1700:FileResponsibleTel">
    <vt:lpwstr/>
  </property>
  <property fmtid="{D5CDD505-2E9C-101B-9397-08002B2CF9AE}" pid="9" name="FSC#UVEKCFG@15.1700:FileResponsibleEmail">
    <vt:lpwstr/>
  </property>
  <property fmtid="{D5CDD505-2E9C-101B-9397-08002B2CF9AE}" pid="10" name="FSC#UVEKCFG@15.1700:FileResponsibleFax">
    <vt:lpwstr/>
  </property>
  <property fmtid="{D5CDD505-2E9C-101B-9397-08002B2CF9AE}" pid="11" name="FSC#UVEKCFG@15.1700:FileResponsibleAddress">
    <vt:lpwstr/>
  </property>
  <property fmtid="{D5CDD505-2E9C-101B-9397-08002B2CF9AE}" pid="12" name="FSC#UVEKCFG@15.1700:FileResponsibleStreet">
    <vt:lpwstr/>
  </property>
  <property fmtid="{D5CDD505-2E9C-101B-9397-08002B2CF9AE}" pid="13" name="FSC#UVEKCFG@15.1700:FileResponsiblezipcode">
    <vt:lpwstr/>
  </property>
  <property fmtid="{D5CDD505-2E9C-101B-9397-08002B2CF9AE}" pid="14" name="FSC#UVEKCFG@15.1700:FileResponsiblecity">
    <vt:lpwstr/>
  </property>
  <property fmtid="{D5CDD505-2E9C-101B-9397-08002B2CF9AE}" pid="15" name="FSC#UVEKCFG@15.1700:FileResponsibleAbbreviation">
    <vt:lpwstr/>
  </property>
  <property fmtid="{D5CDD505-2E9C-101B-9397-08002B2CF9AE}" pid="16" name="FSC#UVEKCFG@15.1700:FileRespOrgHome">
    <vt:lpwstr>Mühlestrasse 4, 3003 Bern</vt:lpwstr>
  </property>
  <property fmtid="{D5CDD505-2E9C-101B-9397-08002B2CF9AE}" pid="17" name="FSC#UVEKCFG@15.1700:CurrUserAbbreviation">
    <vt:lpwstr>sub</vt:lpwstr>
  </property>
  <property fmtid="{D5CDD505-2E9C-101B-9397-08002B2CF9AE}" pid="18" name="FSC#UVEKCFG@15.1700:CategoryReference">
    <vt:lpwstr>441.4</vt:lpwstr>
  </property>
  <property fmtid="{D5CDD505-2E9C-101B-9397-08002B2CF9AE}" pid="19" name="FSC#UVEKCFG@15.1700:cooAddress">
    <vt:lpwstr>COO.2207.110.3.900429</vt:lpwstr>
  </property>
  <property fmtid="{D5CDD505-2E9C-101B-9397-08002B2CF9AE}" pid="20" name="FSC#UVEKCFG@15.1700:sleeveFileReference">
    <vt:lpwstr/>
  </property>
  <property fmtid="{D5CDD505-2E9C-101B-9397-08002B2CF9AE}" pid="21" name="FSC#UVEKCFG@15.1700:BureauName">
    <vt:lpwstr/>
  </property>
  <property fmtid="{D5CDD505-2E9C-101B-9397-08002B2CF9AE}" pid="22" name="FSC#UVEKCFG@15.1700:BureauShortName">
    <vt:lpwstr>BFE</vt:lpwstr>
  </property>
  <property fmtid="{D5CDD505-2E9C-101B-9397-08002B2CF9AE}" pid="23" name="FSC#UVEKCFG@15.1700:BureauWebsite">
    <vt:lpwstr/>
  </property>
  <property fmtid="{D5CDD505-2E9C-101B-9397-08002B2CF9AE}" pid="24" name="FSC#COOELAK@1.1001:Subject">
    <vt:lpwstr/>
  </property>
  <property fmtid="{D5CDD505-2E9C-101B-9397-08002B2CF9AE}" pid="25" name="FSC#COOELAK@1.1001:FileReference">
    <vt:lpwstr>441.4-00001</vt:lpwstr>
  </property>
  <property fmtid="{D5CDD505-2E9C-101B-9397-08002B2CF9AE}" pid="26" name="FSC#COOELAK@1.1001:FileRefYear">
    <vt:lpwstr>2013</vt:lpwstr>
  </property>
  <property fmtid="{D5CDD505-2E9C-101B-9397-08002B2CF9AE}" pid="27" name="FSC#COOELAK@1.1001:FileRefOrdinal">
    <vt:lpwstr>1</vt:lpwstr>
  </property>
  <property fmtid="{D5CDD505-2E9C-101B-9397-08002B2CF9AE}" pid="28" name="FSC#COOELAK@1.1001:FileRefOU">
    <vt:lpwstr>ID</vt:lpwstr>
  </property>
  <property fmtid="{D5CDD505-2E9C-101B-9397-08002B2CF9AE}" pid="29" name="FSC#COOELAK@1.1001:Organization">
    <vt:lpwstr/>
  </property>
  <property fmtid="{D5CDD505-2E9C-101B-9397-08002B2CF9AE}" pid="30" name="FSC#COOELAK@1.1001:Owner">
    <vt:lpwstr>Cavigelli Marc</vt:lpwstr>
  </property>
  <property fmtid="{D5CDD505-2E9C-101B-9397-08002B2CF9AE}" pid="31" name="FSC#COOELAK@1.1001:OwnerExtension">
    <vt:lpwstr>+41 58 465 47 12</vt:lpwstr>
  </property>
  <property fmtid="{D5CDD505-2E9C-101B-9397-08002B2CF9AE}" pid="32" name="FSC#COOELAK@1.1001:OwnerFaxExtension">
    <vt:lpwstr>+41 58 463 25 00</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Sektion Industrie und Dienstleistungen (BFE)</vt:lpwstr>
  </property>
  <property fmtid="{D5CDD505-2E9C-101B-9397-08002B2CF9AE}" pid="38" name="FSC#COOELAK@1.1001:CreatedAt">
    <vt:lpwstr>10.06.2015</vt:lpwstr>
  </property>
  <property fmtid="{D5CDD505-2E9C-101B-9397-08002B2CF9AE}" pid="39" name="FSC#COOELAK@1.1001:OU">
    <vt:lpwstr>Sektion Industrie und Dienstleistungen (BFE)</vt:lpwstr>
  </property>
  <property fmtid="{D5CDD505-2E9C-101B-9397-08002B2CF9AE}" pid="40" name="FSC#COOELAK@1.1001:Priority">
    <vt:lpwstr> ()</vt:lpwstr>
  </property>
  <property fmtid="{D5CDD505-2E9C-101B-9397-08002B2CF9AE}" pid="41" name="FSC#COOELAK@1.1001:ObjBarCode">
    <vt:lpwstr>*COO.2207.110.3.900429*</vt:lpwstr>
  </property>
  <property fmtid="{D5CDD505-2E9C-101B-9397-08002B2CF9AE}" pid="42" name="FSC#COOELAK@1.1001:RefBarCode">
    <vt:lpwstr>*COO.2207.110.4.900429*</vt:lpwstr>
  </property>
  <property fmtid="{D5CDD505-2E9C-101B-9397-08002B2CF9AE}" pid="43" name="FSC#COOELAK@1.1001:FileRefBarCode">
    <vt:lpwstr>*441.4-00001*</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441.4</vt:lpwstr>
  </property>
  <property fmtid="{D5CDD505-2E9C-101B-9397-08002B2CF9AE}" pid="57" name="FSC#COOELAK@1.1001:CurrentUserRolePos">
    <vt:lpwstr>Sachbearbeiter/-in</vt:lpwstr>
  </property>
  <property fmtid="{D5CDD505-2E9C-101B-9397-08002B2CF9AE}" pid="58" name="FSC#COOELAK@1.1001:CurrentUserEmail">
    <vt:lpwstr>barbara.schuetz@bfe.admin.ch</vt:lpwstr>
  </property>
  <property fmtid="{D5CDD505-2E9C-101B-9397-08002B2CF9AE}" pid="59" name="FSC#ELAKGOV@1.1001:PersonalSubjGender">
    <vt:lpwstr/>
  </property>
  <property fmtid="{D5CDD505-2E9C-101B-9397-08002B2CF9AE}" pid="60" name="FSC#ELAKGOV@1.1001:PersonalSubjFirstName">
    <vt:lpwstr/>
  </property>
  <property fmtid="{D5CDD505-2E9C-101B-9397-08002B2CF9AE}" pid="61" name="FSC#ELAKGOV@1.1001:PersonalSubjSurName">
    <vt:lpwstr/>
  </property>
  <property fmtid="{D5CDD505-2E9C-101B-9397-08002B2CF9AE}" pid="62" name="FSC#ELAKGOV@1.1001:PersonalSubjSalutation">
    <vt:lpwstr/>
  </property>
  <property fmtid="{D5CDD505-2E9C-101B-9397-08002B2CF9AE}" pid="63" name="FSC#ELAKGOV@1.1001:PersonalSubjAddress">
    <vt:lpwstr/>
  </property>
  <property fmtid="{D5CDD505-2E9C-101B-9397-08002B2CF9AE}" pid="64" name="FSC#ATSTATECFG@1.1001:Office">
    <vt:lpwstr/>
  </property>
  <property fmtid="{D5CDD505-2E9C-101B-9397-08002B2CF9AE}" pid="65" name="FSC#ATSTATECFG@1.1001:Agent">
    <vt:lpwstr/>
  </property>
  <property fmtid="{D5CDD505-2E9C-101B-9397-08002B2CF9AE}" pid="66" name="FSC#ATSTATECFG@1.1001:AgentPhone">
    <vt:lpwstr/>
  </property>
  <property fmtid="{D5CDD505-2E9C-101B-9397-08002B2CF9AE}" pid="67" name="FSC#ATSTATECFG@1.1001:DepartmentFax">
    <vt:lpwstr/>
  </property>
  <property fmtid="{D5CDD505-2E9C-101B-9397-08002B2CF9AE}" pid="68" name="FSC#ATSTATECFG@1.1001:DepartmentEmail">
    <vt:lpwstr/>
  </property>
  <property fmtid="{D5CDD505-2E9C-101B-9397-08002B2CF9AE}" pid="69" name="FSC#ATSTATECFG@1.1001:SubfileDate">
    <vt:lpwstr/>
  </property>
  <property fmtid="{D5CDD505-2E9C-101B-9397-08002B2CF9AE}" pid="70" name="FSC#ATSTATECFG@1.1001:SubfileSubject">
    <vt:lpwstr>franz_guide_etat_actuel_et_analyse_des_potentiels_x000d_
</vt:lpwstr>
  </property>
  <property fmtid="{D5CDD505-2E9C-101B-9397-08002B2CF9AE}" pid="71" name="FSC#ATSTATECFG@1.1001:DepartmentZipCode">
    <vt:lpwstr>3003</vt:lpwstr>
  </property>
  <property fmtid="{D5CDD505-2E9C-101B-9397-08002B2CF9AE}" pid="72" name="FSC#ATSTATECFG@1.1001:DepartmentCountry">
    <vt:lpwstr/>
  </property>
  <property fmtid="{D5CDD505-2E9C-101B-9397-08002B2CF9AE}" pid="73" name="FSC#ATSTATECFG@1.1001:DepartmentCity">
    <vt:lpwstr>Bern</vt:lpwstr>
  </property>
  <property fmtid="{D5CDD505-2E9C-101B-9397-08002B2CF9AE}" pid="74" name="FSC#ATSTATECFG@1.1001:DepartmentStreet">
    <vt:lpwstr>Mühlestrasse 4</vt:lpwstr>
  </property>
  <property fmtid="{D5CDD505-2E9C-101B-9397-08002B2CF9AE}" pid="75" name="FSC#ATSTATECFG@1.1001:DepartmentDVR">
    <vt:lpwstr/>
  </property>
  <property fmtid="{D5CDD505-2E9C-101B-9397-08002B2CF9AE}" pid="76" name="FSC#ATSTATECFG@1.1001:DepartmentUID">
    <vt:lpwstr/>
  </property>
  <property fmtid="{D5CDD505-2E9C-101B-9397-08002B2CF9AE}" pid="77" name="FSC#ATSTATECFG@1.1001:SubfileReference">
    <vt:lpwstr>441.4-00001/00001/00004</vt:lpwstr>
  </property>
  <property fmtid="{D5CDD505-2E9C-101B-9397-08002B2CF9AE}" pid="78" name="FSC#ATSTATECFG@1.1001:Clause">
    <vt:lpwstr/>
  </property>
  <property fmtid="{D5CDD505-2E9C-101B-9397-08002B2CF9AE}" pid="79" name="FSC#ATSTATECFG@1.1001:ApprovedSignature">
    <vt:lpwstr/>
  </property>
  <property fmtid="{D5CDD505-2E9C-101B-9397-08002B2CF9AE}" pid="80" name="FSC#ATSTATECFG@1.1001:BankAccount">
    <vt:lpwstr/>
  </property>
  <property fmtid="{D5CDD505-2E9C-101B-9397-08002B2CF9AE}" pid="81" name="FSC#ATSTATECFG@1.1001:BankAccountOwner">
    <vt:lpwstr/>
  </property>
  <property fmtid="{D5CDD505-2E9C-101B-9397-08002B2CF9AE}" pid="82" name="FSC#ATSTATECFG@1.1001:BankInstitute">
    <vt:lpwstr/>
  </property>
  <property fmtid="{D5CDD505-2E9C-101B-9397-08002B2CF9AE}" pid="83" name="FSC#ATSTATECFG@1.1001:BankAccountID">
    <vt:lpwstr/>
  </property>
  <property fmtid="{D5CDD505-2E9C-101B-9397-08002B2CF9AE}" pid="84" name="FSC#ATSTATECFG@1.1001:BankAccountIBAN">
    <vt:lpwstr/>
  </property>
  <property fmtid="{D5CDD505-2E9C-101B-9397-08002B2CF9AE}" pid="85" name="FSC#ATSTATECFG@1.1001:BankAccountBIC">
    <vt:lpwstr/>
  </property>
  <property fmtid="{D5CDD505-2E9C-101B-9397-08002B2CF9AE}" pid="86" name="FSC#ATSTATECFG@1.1001:BankName">
    <vt:lpwstr/>
  </property>
  <property fmtid="{D5CDD505-2E9C-101B-9397-08002B2CF9AE}" pid="87" name="FSC#CCAPRECONFIG@15.1001:AddrAnrede">
    <vt:lpwstr/>
  </property>
  <property fmtid="{D5CDD505-2E9C-101B-9397-08002B2CF9AE}" pid="88" name="FSC#CCAPRECONFIG@15.1001:AddrTitel">
    <vt:lpwstr/>
  </property>
  <property fmtid="{D5CDD505-2E9C-101B-9397-08002B2CF9AE}" pid="89" name="FSC#CCAPRECONFIG@15.1001:AddrNachgestellter_Titel">
    <vt:lpwstr/>
  </property>
  <property fmtid="{D5CDD505-2E9C-101B-9397-08002B2CF9AE}" pid="90" name="FSC#CCAPRECONFIG@15.1001:AddrVorname">
    <vt:lpwstr/>
  </property>
  <property fmtid="{D5CDD505-2E9C-101B-9397-08002B2CF9AE}" pid="91" name="FSC#CCAPRECONFIG@15.1001:AddrNachname">
    <vt:lpwstr/>
  </property>
  <property fmtid="{D5CDD505-2E9C-101B-9397-08002B2CF9AE}" pid="92" name="FSC#CCAPRECONFIG@15.1001:AddrzH">
    <vt:lpwstr/>
  </property>
  <property fmtid="{D5CDD505-2E9C-101B-9397-08002B2CF9AE}" pid="93" name="FSC#CCAPRECONFIG@15.1001:AddrGeschlecht">
    <vt:lpwstr/>
  </property>
  <property fmtid="{D5CDD505-2E9C-101B-9397-08002B2CF9AE}" pid="94" name="FSC#CCAPRECONFIG@15.1001:AddrStrasse">
    <vt:lpwstr/>
  </property>
  <property fmtid="{D5CDD505-2E9C-101B-9397-08002B2CF9AE}" pid="95" name="FSC#CCAPRECONFIG@15.1001:AddrHausnummer">
    <vt:lpwstr/>
  </property>
  <property fmtid="{D5CDD505-2E9C-101B-9397-08002B2CF9AE}" pid="96" name="FSC#CCAPRECONFIG@15.1001:AddrStiege">
    <vt:lpwstr/>
  </property>
  <property fmtid="{D5CDD505-2E9C-101B-9397-08002B2CF9AE}" pid="97" name="FSC#CCAPRECONFIG@15.1001:AddrTuer">
    <vt:lpwstr/>
  </property>
  <property fmtid="{D5CDD505-2E9C-101B-9397-08002B2CF9AE}" pid="98" name="FSC#CCAPRECONFIG@15.1001:AddrPostfach">
    <vt:lpwstr/>
  </property>
  <property fmtid="{D5CDD505-2E9C-101B-9397-08002B2CF9AE}" pid="99" name="FSC#CCAPRECONFIG@15.1001:AddrPostleitzahl">
    <vt:lpwstr/>
  </property>
  <property fmtid="{D5CDD505-2E9C-101B-9397-08002B2CF9AE}" pid="100" name="FSC#CCAPRECONFIG@15.1001:AddrOrt">
    <vt:lpwstr/>
  </property>
  <property fmtid="{D5CDD505-2E9C-101B-9397-08002B2CF9AE}" pid="101" name="FSC#CCAPRECONFIG@15.1001:AddrLand">
    <vt:lpwstr/>
  </property>
  <property fmtid="{D5CDD505-2E9C-101B-9397-08002B2CF9AE}" pid="102" name="FSC#CCAPRECONFIG@15.1001:AddrEmail">
    <vt:lpwstr/>
  </property>
  <property fmtid="{D5CDD505-2E9C-101B-9397-08002B2CF9AE}" pid="103" name="FSC#CCAPRECONFIG@15.1001:AddrAdresse">
    <vt:lpwstr/>
  </property>
  <property fmtid="{D5CDD505-2E9C-101B-9397-08002B2CF9AE}" pid="104" name="FSC#CCAPRECONFIG@15.1001:AddrFax">
    <vt:lpwstr/>
  </property>
  <property fmtid="{D5CDD505-2E9C-101B-9397-08002B2CF9AE}" pid="105" name="FSC#CCAPRECONFIG@15.1001:AddrOrganisationsname">
    <vt:lpwstr/>
  </property>
  <property fmtid="{D5CDD505-2E9C-101B-9397-08002B2CF9AE}" pid="106" name="FSC#CCAPRECONFIG@15.1001:AddrOrganisationskurzname">
    <vt:lpwstr/>
  </property>
  <property fmtid="{D5CDD505-2E9C-101B-9397-08002B2CF9AE}" pid="107" name="FSC#CCAPRECONFIG@15.1001:AddrAbschriftsbemerkung">
    <vt:lpwstr/>
  </property>
  <property fmtid="{D5CDD505-2E9C-101B-9397-08002B2CF9AE}" pid="108" name="FSC#CCAPRECONFIG@15.1001:AddrName_Zeile_2">
    <vt:lpwstr/>
  </property>
  <property fmtid="{D5CDD505-2E9C-101B-9397-08002B2CF9AE}" pid="109" name="FSC#CCAPRECONFIG@15.1001:AddrName_Zeile_3">
    <vt:lpwstr/>
  </property>
  <property fmtid="{D5CDD505-2E9C-101B-9397-08002B2CF9AE}" pid="110" name="FSC#CCAPRECONFIG@15.1001:AddrPostalischeAdresse">
    <vt:lpwstr/>
  </property>
  <property fmtid="{D5CDD505-2E9C-101B-9397-08002B2CF9AE}" pid="111" name="FSC#COOSYSTEM@1.1:Container">
    <vt:lpwstr>COO.2207.110.3.900429</vt:lpwstr>
  </property>
  <property fmtid="{D5CDD505-2E9C-101B-9397-08002B2CF9AE}" pid="112" name="FSC#FSCFOLIO@1.1001:docpropproject">
    <vt:lpwstr/>
  </property>
  <property fmtid="{D5CDD505-2E9C-101B-9397-08002B2CF9AE}" pid="113" name="FSC$NOPARSEFILE">
    <vt:bool>false</vt:bool>
  </property>
  <property fmtid="{D5CDD505-2E9C-101B-9397-08002B2CF9AE}" pid="114" name="FSC#UVEKCFG@15.1700:SubFileTitle">
    <vt:lpwstr>guide_Etat_actuel_et_analyse_des_potentiels</vt:lpwstr>
  </property>
  <property fmtid="{D5CDD505-2E9C-101B-9397-08002B2CF9AE}" pid="115" name="FSC#UVEKCFG@15.1700:ForeignNumber">
    <vt:lpwstr/>
  </property>
  <property fmtid="{D5CDD505-2E9C-101B-9397-08002B2CF9AE}" pid="116" name="FSC#UVEKCFG@15.1700:Amtstitel">
    <vt:lpwstr/>
  </property>
  <property fmtid="{D5CDD505-2E9C-101B-9397-08002B2CF9AE}" pid="117" name="FSC#UVEKCFG@15.1700:ZusendungAm">
    <vt:lpwstr/>
  </property>
  <property fmtid="{D5CDD505-2E9C-101B-9397-08002B2CF9AE}" pid="118" name="FSC#UVEKCFG@15.1700:SignerLeft">
    <vt:lpwstr/>
  </property>
  <property fmtid="{D5CDD505-2E9C-101B-9397-08002B2CF9AE}" pid="119" name="FSC#UVEKCFG@15.1700:SignerRight">
    <vt:lpwstr/>
  </property>
  <property fmtid="{D5CDD505-2E9C-101B-9397-08002B2CF9AE}" pid="120" name="FSC#UVEKCFG@15.1700:SignerLeftJobTitle">
    <vt:lpwstr/>
  </property>
  <property fmtid="{D5CDD505-2E9C-101B-9397-08002B2CF9AE}" pid="121" name="FSC#UVEKCFG@15.1700:SignerRightJobTitle">
    <vt:lpwstr/>
  </property>
  <property fmtid="{D5CDD505-2E9C-101B-9397-08002B2CF9AE}" pid="122" name="FSC#UVEKCFG@15.1700:SignerLeftFunction">
    <vt:lpwstr/>
  </property>
  <property fmtid="{D5CDD505-2E9C-101B-9397-08002B2CF9AE}" pid="123" name="FSC#UVEKCFG@15.1700:SignerRightFunction">
    <vt:lpwstr/>
  </property>
  <property fmtid="{D5CDD505-2E9C-101B-9397-08002B2CF9AE}" pid="124" name="FSC#UVEKCFG@15.1700:SignerLeftUserRoleGroup">
    <vt:lpwstr/>
  </property>
  <property fmtid="{D5CDD505-2E9C-101B-9397-08002B2CF9AE}" pid="125" name="FSC#UVEKCFG@15.1700:SignerRightUserRoleGroup">
    <vt:lpwstr/>
  </property>
  <property fmtid="{D5CDD505-2E9C-101B-9397-08002B2CF9AE}" pid="126" name="FSC#UVEKCFG@15.1700:DefaultGroupFileResponsible">
    <vt:lpwstr/>
  </property>
</Properties>
</file>